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541" w:rsidRDefault="00E6179D" w:rsidP="00E6179D">
      <w:pPr>
        <w:spacing w:after="0" w:line="360" w:lineRule="auto"/>
        <w:jc w:val="both"/>
        <w:rPr>
          <w:rFonts w:ascii="Palatino Linotype" w:hAnsi="Palatino Linotype" w:cs="Arial"/>
          <w:b/>
          <w:sz w:val="24"/>
          <w:szCs w:val="24"/>
        </w:rPr>
      </w:pPr>
      <w:bookmarkStart w:id="0" w:name="_GoBack"/>
      <w:bookmarkEnd w:id="0"/>
      <w:r w:rsidRPr="00427B79">
        <w:rPr>
          <w:rFonts w:ascii="Palatino Linotype" w:eastAsia="Calibri" w:hAnsi="Palatino Linotype" w:cs="Arial"/>
          <w:b/>
          <w:sz w:val="24"/>
          <w:szCs w:val="24"/>
        </w:rPr>
        <w:t>VOTO PARTICULAR DEL COMISIONADO JOSÉ GUADALUPE LUNA HERNÁNDEZ EN EL RECURSO DE REVISIÓN</w:t>
      </w:r>
      <w:r w:rsidR="00EF3EA6">
        <w:rPr>
          <w:rFonts w:ascii="Palatino Linotype" w:eastAsia="Calibri" w:hAnsi="Palatino Linotype" w:cs="Arial"/>
          <w:b/>
          <w:sz w:val="24"/>
          <w:szCs w:val="24"/>
        </w:rPr>
        <w:t xml:space="preserve"> </w:t>
      </w:r>
      <w:r w:rsidR="001A62C6" w:rsidRPr="00DD59EA">
        <w:rPr>
          <w:rFonts w:ascii="Palatino Linotype" w:hAnsi="Palatino Linotype" w:cs="Arial"/>
          <w:b/>
        </w:rPr>
        <w:t xml:space="preserve">00567/INFOEM/IP/RR/2019 </w:t>
      </w:r>
      <w:r w:rsidR="001A62C6" w:rsidRPr="00DD59EA">
        <w:rPr>
          <w:rFonts w:ascii="Palatino Linotype" w:hAnsi="Palatino Linotype" w:cs="Arial"/>
        </w:rPr>
        <w:t xml:space="preserve">y </w:t>
      </w:r>
      <w:r w:rsidR="001A62C6" w:rsidRPr="00DD59EA">
        <w:rPr>
          <w:rFonts w:ascii="Palatino Linotype" w:hAnsi="Palatino Linotype" w:cs="Arial"/>
          <w:b/>
        </w:rPr>
        <w:t>00568/INFOEM/IP/RR/2019</w:t>
      </w:r>
      <w:r w:rsidR="001A62C6">
        <w:rPr>
          <w:rFonts w:ascii="Palatino Linotype" w:hAnsi="Palatino Linotype" w:cs="Arial"/>
          <w:b/>
        </w:rPr>
        <w:t>.</w:t>
      </w:r>
    </w:p>
    <w:p w:rsidR="0036569E" w:rsidRDefault="0036569E" w:rsidP="00E6179D">
      <w:pPr>
        <w:spacing w:after="0" w:line="360" w:lineRule="auto"/>
        <w:jc w:val="both"/>
        <w:rPr>
          <w:rFonts w:ascii="Palatino Linotype" w:eastAsia="Calibri" w:hAnsi="Palatino Linotype" w:cs="Arial"/>
          <w:b/>
          <w:sz w:val="24"/>
          <w:szCs w:val="24"/>
        </w:rPr>
      </w:pPr>
    </w:p>
    <w:p w:rsidR="00E6179D" w:rsidRPr="00427B79" w:rsidRDefault="00E6179D" w:rsidP="00E6179D">
      <w:pPr>
        <w:spacing w:after="0" w:line="360" w:lineRule="auto"/>
        <w:jc w:val="both"/>
        <w:rPr>
          <w:rFonts w:ascii="Palatino Linotype" w:eastAsia="Calibri" w:hAnsi="Palatino Linotype" w:cs="Arial"/>
          <w:sz w:val="24"/>
          <w:szCs w:val="24"/>
        </w:rPr>
      </w:pPr>
      <w:r w:rsidRPr="00427B79">
        <w:rPr>
          <w:rFonts w:ascii="Palatino Linotype" w:eastAsia="Calibri" w:hAnsi="Palatino Linotype" w:cs="Arial"/>
          <w:b/>
          <w:sz w:val="24"/>
          <w:szCs w:val="24"/>
        </w:rPr>
        <w:t>Resumen del voto:</w:t>
      </w:r>
      <w:r w:rsidRPr="00427B79">
        <w:rPr>
          <w:rFonts w:ascii="Palatino Linotype" w:eastAsia="Calibri" w:hAnsi="Palatino Linotype" w:cs="Arial"/>
          <w:sz w:val="24"/>
          <w:szCs w:val="24"/>
        </w:rPr>
        <w:t xml:space="preserve"> Los pronunciamientos simples que realicen los Sujetos Obligados, deben estar debidamente motivados, debiendo explicar de manera clara y precisa las causas por las que no se cuenta con la </w:t>
      </w:r>
      <w:r w:rsidR="00D37ED5">
        <w:rPr>
          <w:rFonts w:ascii="Palatino Linotype" w:eastAsia="Calibri" w:hAnsi="Palatino Linotype" w:cs="Arial"/>
          <w:sz w:val="24"/>
          <w:szCs w:val="24"/>
        </w:rPr>
        <w:t xml:space="preserve">información requerida, a efecto </w:t>
      </w:r>
      <w:r w:rsidRPr="00427B79">
        <w:rPr>
          <w:rFonts w:ascii="Palatino Linotype" w:eastAsia="Calibri" w:hAnsi="Palatino Linotype" w:cs="Arial"/>
          <w:sz w:val="24"/>
          <w:szCs w:val="24"/>
        </w:rPr>
        <w:t>de brindar certeza jurídica de la omisión a la entrega de la información por no poseer, generar o administrar lo solicitado.</w:t>
      </w:r>
    </w:p>
    <w:p w:rsidR="00E6179D" w:rsidRPr="00427B79" w:rsidRDefault="00E6179D" w:rsidP="00E6179D">
      <w:pPr>
        <w:spacing w:after="0" w:line="360" w:lineRule="auto"/>
        <w:jc w:val="both"/>
        <w:rPr>
          <w:rFonts w:ascii="Palatino Linotype" w:eastAsia="Calibri" w:hAnsi="Palatino Linotype" w:cs="Arial"/>
          <w:sz w:val="24"/>
          <w:szCs w:val="24"/>
        </w:rPr>
      </w:pPr>
    </w:p>
    <w:p w:rsidR="00E6179D" w:rsidRPr="00835C8D" w:rsidRDefault="00E6179D" w:rsidP="00B73B30">
      <w:pPr>
        <w:pStyle w:val="TtulodeTDC"/>
        <w:spacing w:line="360" w:lineRule="auto"/>
        <w:rPr>
          <w:rFonts w:cs="Arial"/>
          <w:b w:val="0"/>
          <w:color w:val="auto"/>
          <w:szCs w:val="24"/>
        </w:rPr>
      </w:pPr>
      <w:r w:rsidRPr="00835C8D">
        <w:rPr>
          <w:rFonts w:cs="Arial"/>
          <w:color w:val="auto"/>
          <w:szCs w:val="24"/>
        </w:rPr>
        <w:t>Índice</w:t>
      </w:r>
      <w:r w:rsidR="00B73B30">
        <w:rPr>
          <w:rFonts w:cs="Arial"/>
          <w:color w:val="auto"/>
          <w:szCs w:val="24"/>
        </w:rPr>
        <w:t>.</w:t>
      </w:r>
    </w:p>
    <w:sdt>
      <w:sdtPr>
        <w:rPr>
          <w:rFonts w:asciiTheme="minorHAnsi" w:hAnsiTheme="minorHAnsi"/>
          <w:b w:val="0"/>
          <w:noProof w:val="0"/>
          <w:sz w:val="24"/>
          <w:szCs w:val="24"/>
          <w:lang w:val="es-ES"/>
        </w:rPr>
        <w:id w:val="-1628690016"/>
        <w:docPartObj>
          <w:docPartGallery w:val="Table of Contents"/>
          <w:docPartUnique/>
        </w:docPartObj>
      </w:sdtPr>
      <w:sdtEndPr>
        <w:rPr>
          <w:rFonts w:ascii="Palatino Linotype" w:hAnsi="Palatino Linotype"/>
          <w:b/>
          <w:bCs/>
        </w:rPr>
      </w:sdtEndPr>
      <w:sdtContent>
        <w:p w:rsidR="006B704C" w:rsidRPr="006B704C" w:rsidRDefault="00E6179D">
          <w:pPr>
            <w:pStyle w:val="TDC1"/>
            <w:rPr>
              <w:rFonts w:asciiTheme="minorHAnsi" w:eastAsiaTheme="minorEastAsia" w:hAnsiTheme="minorHAnsi"/>
              <w:b w:val="0"/>
              <w:sz w:val="24"/>
              <w:szCs w:val="24"/>
              <w:lang w:eastAsia="es-MX"/>
            </w:rPr>
          </w:pPr>
          <w:r w:rsidRPr="006B704C">
            <w:rPr>
              <w:sz w:val="24"/>
              <w:szCs w:val="24"/>
            </w:rPr>
            <w:fldChar w:fldCharType="begin"/>
          </w:r>
          <w:r w:rsidRPr="006B704C">
            <w:rPr>
              <w:sz w:val="24"/>
              <w:szCs w:val="24"/>
            </w:rPr>
            <w:instrText xml:space="preserve"> TOC \o "1-3" \h \z \u </w:instrText>
          </w:r>
          <w:r w:rsidRPr="006B704C">
            <w:rPr>
              <w:sz w:val="24"/>
              <w:szCs w:val="24"/>
            </w:rPr>
            <w:fldChar w:fldCharType="separate"/>
          </w:r>
          <w:hyperlink w:anchor="_Toc7187816" w:history="1">
            <w:r w:rsidR="006B704C" w:rsidRPr="006B704C">
              <w:rPr>
                <w:rStyle w:val="Hipervnculo"/>
                <w:rFonts w:eastAsia="Times New Roman"/>
                <w:sz w:val="24"/>
                <w:szCs w:val="24"/>
              </w:rPr>
              <w:t>I.</w:t>
            </w:r>
            <w:r w:rsidR="006B704C" w:rsidRPr="006B704C">
              <w:rPr>
                <w:rFonts w:asciiTheme="minorHAnsi" w:eastAsiaTheme="minorEastAsia" w:hAnsiTheme="minorHAnsi"/>
                <w:b w:val="0"/>
                <w:sz w:val="24"/>
                <w:szCs w:val="24"/>
                <w:lang w:eastAsia="es-MX"/>
              </w:rPr>
              <w:tab/>
            </w:r>
            <w:r w:rsidR="006B704C" w:rsidRPr="006B704C">
              <w:rPr>
                <w:rStyle w:val="Hipervnculo"/>
                <w:rFonts w:eastAsia="Times New Roman"/>
                <w:sz w:val="24"/>
                <w:szCs w:val="24"/>
              </w:rPr>
              <w:t>Consideraciones Generales</w:t>
            </w:r>
            <w:r w:rsidR="006B704C" w:rsidRPr="006B704C">
              <w:rPr>
                <w:webHidden/>
                <w:sz w:val="24"/>
                <w:szCs w:val="24"/>
              </w:rPr>
              <w:tab/>
            </w:r>
            <w:r w:rsidR="006B704C" w:rsidRPr="006B704C">
              <w:rPr>
                <w:webHidden/>
                <w:sz w:val="24"/>
                <w:szCs w:val="24"/>
              </w:rPr>
              <w:fldChar w:fldCharType="begin"/>
            </w:r>
            <w:r w:rsidR="006B704C" w:rsidRPr="006B704C">
              <w:rPr>
                <w:webHidden/>
                <w:sz w:val="24"/>
                <w:szCs w:val="24"/>
              </w:rPr>
              <w:instrText xml:space="preserve"> PAGEREF _Toc7187816 \h </w:instrText>
            </w:r>
            <w:r w:rsidR="006B704C" w:rsidRPr="006B704C">
              <w:rPr>
                <w:webHidden/>
                <w:sz w:val="24"/>
                <w:szCs w:val="24"/>
              </w:rPr>
            </w:r>
            <w:r w:rsidR="006B704C" w:rsidRPr="006B704C">
              <w:rPr>
                <w:webHidden/>
                <w:sz w:val="24"/>
                <w:szCs w:val="24"/>
              </w:rPr>
              <w:fldChar w:fldCharType="separate"/>
            </w:r>
            <w:r w:rsidR="009770F2">
              <w:rPr>
                <w:webHidden/>
                <w:sz w:val="24"/>
                <w:szCs w:val="24"/>
              </w:rPr>
              <w:t>1</w:t>
            </w:r>
            <w:r w:rsidR="006B704C" w:rsidRPr="006B704C">
              <w:rPr>
                <w:webHidden/>
                <w:sz w:val="24"/>
                <w:szCs w:val="24"/>
              </w:rPr>
              <w:fldChar w:fldCharType="end"/>
            </w:r>
          </w:hyperlink>
        </w:p>
        <w:p w:rsidR="006B704C" w:rsidRPr="006B704C" w:rsidRDefault="002926F8">
          <w:pPr>
            <w:pStyle w:val="TDC1"/>
            <w:rPr>
              <w:rFonts w:asciiTheme="minorHAnsi" w:eastAsiaTheme="minorEastAsia" w:hAnsiTheme="minorHAnsi"/>
              <w:b w:val="0"/>
              <w:sz w:val="24"/>
              <w:szCs w:val="24"/>
              <w:lang w:eastAsia="es-MX"/>
            </w:rPr>
          </w:pPr>
          <w:hyperlink w:anchor="_Toc7187817" w:history="1">
            <w:r w:rsidR="006B704C" w:rsidRPr="006B704C">
              <w:rPr>
                <w:rStyle w:val="Hipervnculo"/>
                <w:rFonts w:eastAsia="Calibri"/>
                <w:sz w:val="24"/>
                <w:szCs w:val="24"/>
                <w:lang w:val="es-ES"/>
              </w:rPr>
              <w:t>II.</w:t>
            </w:r>
            <w:r w:rsidR="006B704C" w:rsidRPr="006B704C">
              <w:rPr>
                <w:rFonts w:asciiTheme="minorHAnsi" w:eastAsiaTheme="minorEastAsia" w:hAnsiTheme="minorHAnsi"/>
                <w:b w:val="0"/>
                <w:sz w:val="24"/>
                <w:szCs w:val="24"/>
                <w:lang w:eastAsia="es-MX"/>
              </w:rPr>
              <w:tab/>
            </w:r>
            <w:r w:rsidR="006B704C" w:rsidRPr="006B704C">
              <w:rPr>
                <w:rStyle w:val="Hipervnculo"/>
                <w:rFonts w:eastAsia="Calibri"/>
                <w:sz w:val="24"/>
                <w:szCs w:val="24"/>
                <w:lang w:val="es-ES"/>
              </w:rPr>
              <w:t>De los requerimientos planteados en el recurso de revisión.</w:t>
            </w:r>
            <w:r w:rsidR="006B704C" w:rsidRPr="006B704C">
              <w:rPr>
                <w:webHidden/>
                <w:sz w:val="24"/>
                <w:szCs w:val="24"/>
              </w:rPr>
              <w:tab/>
            </w:r>
            <w:r w:rsidR="006B704C" w:rsidRPr="006B704C">
              <w:rPr>
                <w:webHidden/>
                <w:sz w:val="24"/>
                <w:szCs w:val="24"/>
              </w:rPr>
              <w:fldChar w:fldCharType="begin"/>
            </w:r>
            <w:r w:rsidR="006B704C" w:rsidRPr="006B704C">
              <w:rPr>
                <w:webHidden/>
                <w:sz w:val="24"/>
                <w:szCs w:val="24"/>
              </w:rPr>
              <w:instrText xml:space="preserve"> PAGEREF _Toc7187817 \h </w:instrText>
            </w:r>
            <w:r w:rsidR="006B704C" w:rsidRPr="006B704C">
              <w:rPr>
                <w:webHidden/>
                <w:sz w:val="24"/>
                <w:szCs w:val="24"/>
              </w:rPr>
            </w:r>
            <w:r w:rsidR="006B704C" w:rsidRPr="006B704C">
              <w:rPr>
                <w:webHidden/>
                <w:sz w:val="24"/>
                <w:szCs w:val="24"/>
              </w:rPr>
              <w:fldChar w:fldCharType="separate"/>
            </w:r>
            <w:r w:rsidR="009770F2">
              <w:rPr>
                <w:webHidden/>
                <w:sz w:val="24"/>
                <w:szCs w:val="24"/>
              </w:rPr>
              <w:t>2</w:t>
            </w:r>
            <w:r w:rsidR="006B704C" w:rsidRPr="006B704C">
              <w:rPr>
                <w:webHidden/>
                <w:sz w:val="24"/>
                <w:szCs w:val="24"/>
              </w:rPr>
              <w:fldChar w:fldCharType="end"/>
            </w:r>
          </w:hyperlink>
        </w:p>
        <w:p w:rsidR="006B704C" w:rsidRPr="006B704C" w:rsidRDefault="002926F8">
          <w:pPr>
            <w:pStyle w:val="TDC2"/>
            <w:rPr>
              <w:rFonts w:asciiTheme="minorHAnsi" w:eastAsiaTheme="minorEastAsia" w:hAnsiTheme="minorHAnsi"/>
              <w:b w:val="0"/>
              <w:lang w:eastAsia="es-MX"/>
            </w:rPr>
          </w:pPr>
          <w:hyperlink w:anchor="_Toc7187818" w:history="1">
            <w:r w:rsidR="006B704C" w:rsidRPr="006B704C">
              <w:rPr>
                <w:rStyle w:val="Hipervnculo"/>
              </w:rPr>
              <w:t>III. Del Derecho de Acceso a la información pública y el deber de motivar.</w:t>
            </w:r>
            <w:r w:rsidR="006B704C" w:rsidRPr="006B704C">
              <w:rPr>
                <w:webHidden/>
              </w:rPr>
              <w:tab/>
            </w:r>
            <w:r w:rsidR="006B704C" w:rsidRPr="006B704C">
              <w:rPr>
                <w:webHidden/>
              </w:rPr>
              <w:fldChar w:fldCharType="begin"/>
            </w:r>
            <w:r w:rsidR="006B704C" w:rsidRPr="006B704C">
              <w:rPr>
                <w:webHidden/>
              </w:rPr>
              <w:instrText xml:space="preserve"> PAGEREF _Toc7187818 \h </w:instrText>
            </w:r>
            <w:r w:rsidR="006B704C" w:rsidRPr="006B704C">
              <w:rPr>
                <w:webHidden/>
              </w:rPr>
            </w:r>
            <w:r w:rsidR="006B704C" w:rsidRPr="006B704C">
              <w:rPr>
                <w:webHidden/>
              </w:rPr>
              <w:fldChar w:fldCharType="separate"/>
            </w:r>
            <w:r w:rsidR="009770F2">
              <w:rPr>
                <w:webHidden/>
              </w:rPr>
              <w:t>5</w:t>
            </w:r>
            <w:r w:rsidR="006B704C" w:rsidRPr="006B704C">
              <w:rPr>
                <w:webHidden/>
              </w:rPr>
              <w:fldChar w:fldCharType="end"/>
            </w:r>
          </w:hyperlink>
        </w:p>
        <w:p w:rsidR="006B704C" w:rsidRPr="006B704C" w:rsidRDefault="002926F8">
          <w:pPr>
            <w:pStyle w:val="TDC1"/>
            <w:rPr>
              <w:rFonts w:asciiTheme="minorHAnsi" w:eastAsiaTheme="minorEastAsia" w:hAnsiTheme="minorHAnsi"/>
              <w:b w:val="0"/>
              <w:sz w:val="24"/>
              <w:szCs w:val="24"/>
              <w:lang w:eastAsia="es-MX"/>
            </w:rPr>
          </w:pPr>
          <w:hyperlink w:anchor="_Toc7187819" w:history="1">
            <w:r w:rsidR="006B704C" w:rsidRPr="006B704C">
              <w:rPr>
                <w:rStyle w:val="Hipervnculo"/>
                <w:rFonts w:eastAsia="Calibri"/>
                <w:sz w:val="24"/>
                <w:szCs w:val="24"/>
              </w:rPr>
              <w:t>IV. Del Pronunciamiento simple</w:t>
            </w:r>
            <w:r w:rsidR="006B704C" w:rsidRPr="006B704C">
              <w:rPr>
                <w:webHidden/>
                <w:sz w:val="24"/>
                <w:szCs w:val="24"/>
              </w:rPr>
              <w:tab/>
            </w:r>
            <w:r w:rsidR="006B704C" w:rsidRPr="006B704C">
              <w:rPr>
                <w:webHidden/>
                <w:sz w:val="24"/>
                <w:szCs w:val="24"/>
              </w:rPr>
              <w:fldChar w:fldCharType="begin"/>
            </w:r>
            <w:r w:rsidR="006B704C" w:rsidRPr="006B704C">
              <w:rPr>
                <w:webHidden/>
                <w:sz w:val="24"/>
                <w:szCs w:val="24"/>
              </w:rPr>
              <w:instrText xml:space="preserve"> PAGEREF _Toc7187819 \h </w:instrText>
            </w:r>
            <w:r w:rsidR="006B704C" w:rsidRPr="006B704C">
              <w:rPr>
                <w:webHidden/>
                <w:sz w:val="24"/>
                <w:szCs w:val="24"/>
              </w:rPr>
            </w:r>
            <w:r w:rsidR="006B704C" w:rsidRPr="006B704C">
              <w:rPr>
                <w:webHidden/>
                <w:sz w:val="24"/>
                <w:szCs w:val="24"/>
              </w:rPr>
              <w:fldChar w:fldCharType="separate"/>
            </w:r>
            <w:r w:rsidR="009770F2">
              <w:rPr>
                <w:webHidden/>
                <w:sz w:val="24"/>
                <w:szCs w:val="24"/>
              </w:rPr>
              <w:t>10</w:t>
            </w:r>
            <w:r w:rsidR="006B704C" w:rsidRPr="006B704C">
              <w:rPr>
                <w:webHidden/>
                <w:sz w:val="24"/>
                <w:szCs w:val="24"/>
              </w:rPr>
              <w:fldChar w:fldCharType="end"/>
            </w:r>
          </w:hyperlink>
        </w:p>
        <w:p w:rsidR="006B704C" w:rsidRPr="006B704C" w:rsidRDefault="002926F8">
          <w:pPr>
            <w:pStyle w:val="TDC1"/>
            <w:rPr>
              <w:rFonts w:asciiTheme="minorHAnsi" w:eastAsiaTheme="minorEastAsia" w:hAnsiTheme="minorHAnsi"/>
              <w:b w:val="0"/>
              <w:sz w:val="24"/>
              <w:szCs w:val="24"/>
              <w:lang w:eastAsia="es-MX"/>
            </w:rPr>
          </w:pPr>
          <w:hyperlink w:anchor="_Toc7187820" w:history="1">
            <w:r w:rsidR="006B704C" w:rsidRPr="006B704C">
              <w:rPr>
                <w:rStyle w:val="Hipervnculo"/>
                <w:rFonts w:eastAsia="Calibri"/>
                <w:sz w:val="24"/>
                <w:szCs w:val="24"/>
              </w:rPr>
              <w:t>V. Conclusión.</w:t>
            </w:r>
            <w:r w:rsidR="006B704C" w:rsidRPr="006B704C">
              <w:rPr>
                <w:webHidden/>
                <w:sz w:val="24"/>
                <w:szCs w:val="24"/>
              </w:rPr>
              <w:tab/>
            </w:r>
            <w:r w:rsidR="006B704C" w:rsidRPr="006B704C">
              <w:rPr>
                <w:webHidden/>
                <w:sz w:val="24"/>
                <w:szCs w:val="24"/>
              </w:rPr>
              <w:fldChar w:fldCharType="begin"/>
            </w:r>
            <w:r w:rsidR="006B704C" w:rsidRPr="006B704C">
              <w:rPr>
                <w:webHidden/>
                <w:sz w:val="24"/>
                <w:szCs w:val="24"/>
              </w:rPr>
              <w:instrText xml:space="preserve"> PAGEREF _Toc7187820 \h </w:instrText>
            </w:r>
            <w:r w:rsidR="006B704C" w:rsidRPr="006B704C">
              <w:rPr>
                <w:webHidden/>
                <w:sz w:val="24"/>
                <w:szCs w:val="24"/>
              </w:rPr>
            </w:r>
            <w:r w:rsidR="006B704C" w:rsidRPr="006B704C">
              <w:rPr>
                <w:webHidden/>
                <w:sz w:val="24"/>
                <w:szCs w:val="24"/>
              </w:rPr>
              <w:fldChar w:fldCharType="separate"/>
            </w:r>
            <w:r w:rsidR="009770F2">
              <w:rPr>
                <w:webHidden/>
                <w:sz w:val="24"/>
                <w:szCs w:val="24"/>
              </w:rPr>
              <w:t>28</w:t>
            </w:r>
            <w:r w:rsidR="006B704C" w:rsidRPr="006B704C">
              <w:rPr>
                <w:webHidden/>
                <w:sz w:val="24"/>
                <w:szCs w:val="24"/>
              </w:rPr>
              <w:fldChar w:fldCharType="end"/>
            </w:r>
          </w:hyperlink>
        </w:p>
        <w:p w:rsidR="00E6179D" w:rsidRPr="006B704C" w:rsidRDefault="00E6179D" w:rsidP="00B73B30">
          <w:pPr>
            <w:spacing w:line="360" w:lineRule="auto"/>
            <w:rPr>
              <w:rFonts w:ascii="Palatino Linotype" w:hAnsi="Palatino Linotype"/>
              <w:b/>
              <w:sz w:val="24"/>
              <w:szCs w:val="24"/>
            </w:rPr>
          </w:pPr>
          <w:r w:rsidRPr="006B704C">
            <w:rPr>
              <w:rFonts w:ascii="Palatino Linotype" w:hAnsi="Palatino Linotype"/>
              <w:b/>
              <w:bCs/>
              <w:sz w:val="24"/>
              <w:szCs w:val="24"/>
              <w:lang w:val="es-ES"/>
            </w:rPr>
            <w:fldChar w:fldCharType="end"/>
          </w:r>
        </w:p>
      </w:sdtContent>
    </w:sdt>
    <w:p w:rsidR="00E6179D" w:rsidRPr="00427B79" w:rsidRDefault="00E6179D" w:rsidP="00B41044">
      <w:pPr>
        <w:pStyle w:val="Ttulo1"/>
        <w:numPr>
          <w:ilvl w:val="0"/>
          <w:numId w:val="2"/>
        </w:numPr>
        <w:ind w:left="0" w:firstLine="0"/>
        <w:rPr>
          <w:rFonts w:eastAsia="Times New Roman"/>
          <w:color w:val="auto"/>
          <w:szCs w:val="24"/>
        </w:rPr>
      </w:pPr>
      <w:bookmarkStart w:id="1" w:name="_Toc7187816"/>
      <w:r w:rsidRPr="00427B79">
        <w:rPr>
          <w:rFonts w:eastAsia="Times New Roman"/>
          <w:color w:val="auto"/>
          <w:szCs w:val="24"/>
        </w:rPr>
        <w:t>Consideraciones Generales</w:t>
      </w:r>
      <w:bookmarkEnd w:id="1"/>
    </w:p>
    <w:p w:rsidR="0003648B" w:rsidRPr="00427B79" w:rsidRDefault="0003648B" w:rsidP="0003648B">
      <w:pPr>
        <w:pStyle w:val="TDC1"/>
        <w:ind w:left="0"/>
        <w:rPr>
          <w:sz w:val="24"/>
          <w:szCs w:val="24"/>
          <w:lang w:val="es-ES"/>
        </w:rPr>
      </w:pPr>
    </w:p>
    <w:p w:rsidR="00EF3EA6" w:rsidRPr="00D206BF" w:rsidRDefault="00E6179D" w:rsidP="00EF3EA6">
      <w:pPr>
        <w:spacing w:after="0" w:line="360" w:lineRule="auto"/>
        <w:jc w:val="both"/>
        <w:rPr>
          <w:rFonts w:ascii="Palatino Linotype" w:hAnsi="Palatino Linotype" w:cs="Arial"/>
          <w:b/>
          <w:sz w:val="24"/>
          <w:szCs w:val="24"/>
        </w:rPr>
      </w:pPr>
      <w:r w:rsidRPr="009F02EB">
        <w:rPr>
          <w:rFonts w:ascii="Palatino Linotype" w:eastAsia="Times New Roman" w:hAnsi="Palatino Linotype" w:cs="Arial"/>
          <w:sz w:val="24"/>
          <w:szCs w:val="24"/>
          <w:lang w:val="es-ES_tradnl"/>
        </w:rPr>
        <w:t xml:space="preserve">He concurrido con mi voto particular de la presente resolución emitida </w:t>
      </w:r>
      <w:r w:rsidRPr="009F02EB">
        <w:rPr>
          <w:rFonts w:ascii="Palatino Linotype" w:eastAsia="Calibri" w:hAnsi="Palatino Linotype" w:cs="Arial"/>
          <w:sz w:val="24"/>
          <w:szCs w:val="24"/>
        </w:rPr>
        <w:t xml:space="preserve">por el Pleno del Instituto de Transparencia, Acceso a la Información Pública y Protección de Datos Personales del Estado de México y Municipios, en su </w:t>
      </w:r>
      <w:r w:rsidR="008C1CB4">
        <w:rPr>
          <w:rFonts w:ascii="Palatino Linotype" w:eastAsia="Calibri" w:hAnsi="Palatino Linotype" w:cs="Arial"/>
          <w:sz w:val="24"/>
          <w:szCs w:val="24"/>
        </w:rPr>
        <w:t>Decima</w:t>
      </w:r>
      <w:r w:rsidR="00F44EAA" w:rsidRPr="009F02EB">
        <w:rPr>
          <w:rFonts w:ascii="Palatino Linotype" w:eastAsia="Calibri" w:hAnsi="Palatino Linotype" w:cs="Arial"/>
          <w:sz w:val="24"/>
          <w:szCs w:val="24"/>
        </w:rPr>
        <w:t xml:space="preserve"> </w:t>
      </w:r>
      <w:r w:rsidR="001A62C6">
        <w:rPr>
          <w:rFonts w:ascii="Palatino Linotype" w:eastAsia="Calibri" w:hAnsi="Palatino Linotype" w:cs="Arial"/>
          <w:sz w:val="24"/>
          <w:szCs w:val="24"/>
        </w:rPr>
        <w:t>Quinta</w:t>
      </w:r>
      <w:r w:rsidR="0036569E">
        <w:rPr>
          <w:rFonts w:ascii="Palatino Linotype" w:eastAsia="Calibri" w:hAnsi="Palatino Linotype" w:cs="Arial"/>
          <w:sz w:val="24"/>
          <w:szCs w:val="24"/>
        </w:rPr>
        <w:t xml:space="preserve"> </w:t>
      </w:r>
      <w:r w:rsidRPr="009F02EB">
        <w:rPr>
          <w:rFonts w:ascii="Palatino Linotype" w:eastAsia="Calibri" w:hAnsi="Palatino Linotype" w:cs="Arial"/>
          <w:sz w:val="24"/>
          <w:szCs w:val="24"/>
        </w:rPr>
        <w:t xml:space="preserve">Sesión </w:t>
      </w:r>
      <w:r w:rsidRPr="009F02EB">
        <w:rPr>
          <w:rFonts w:ascii="Palatino Linotype" w:eastAsia="Calibri" w:hAnsi="Palatino Linotype" w:cs="Arial"/>
          <w:sz w:val="24"/>
          <w:szCs w:val="24"/>
        </w:rPr>
        <w:lastRenderedPageBreak/>
        <w:t xml:space="preserve">Ordinaria celebrada el día </w:t>
      </w:r>
      <w:r w:rsidR="001A62C6">
        <w:rPr>
          <w:rFonts w:ascii="Palatino Linotype" w:eastAsia="Calibri" w:hAnsi="Palatino Linotype" w:cs="Arial"/>
          <w:sz w:val="24"/>
          <w:szCs w:val="24"/>
        </w:rPr>
        <w:t>veinticuatro</w:t>
      </w:r>
      <w:r w:rsidRPr="009F02EB">
        <w:rPr>
          <w:rFonts w:ascii="Palatino Linotype" w:eastAsia="Calibri" w:hAnsi="Palatino Linotype" w:cs="Arial"/>
          <w:sz w:val="24"/>
          <w:szCs w:val="24"/>
        </w:rPr>
        <w:t xml:space="preserve"> (</w:t>
      </w:r>
      <w:r w:rsidR="001A62C6">
        <w:rPr>
          <w:rFonts w:ascii="Palatino Linotype" w:eastAsia="Calibri" w:hAnsi="Palatino Linotype" w:cs="Arial"/>
          <w:sz w:val="24"/>
          <w:szCs w:val="24"/>
        </w:rPr>
        <w:t>24</w:t>
      </w:r>
      <w:r w:rsidRPr="009F02EB">
        <w:rPr>
          <w:rFonts w:ascii="Palatino Linotype" w:eastAsia="Calibri" w:hAnsi="Palatino Linotype" w:cs="Arial"/>
          <w:sz w:val="24"/>
          <w:szCs w:val="24"/>
        </w:rPr>
        <w:t xml:space="preserve">) de </w:t>
      </w:r>
      <w:r w:rsidR="001A62C6">
        <w:rPr>
          <w:rFonts w:ascii="Palatino Linotype" w:eastAsia="Calibri" w:hAnsi="Palatino Linotype" w:cs="Arial"/>
          <w:sz w:val="24"/>
          <w:szCs w:val="24"/>
        </w:rPr>
        <w:t>abril</w:t>
      </w:r>
      <w:r w:rsidR="008825D2" w:rsidRPr="009F02EB">
        <w:rPr>
          <w:rFonts w:ascii="Palatino Linotype" w:eastAsia="Calibri" w:hAnsi="Palatino Linotype" w:cs="Arial"/>
          <w:sz w:val="24"/>
          <w:szCs w:val="24"/>
        </w:rPr>
        <w:t xml:space="preserve"> </w:t>
      </w:r>
      <w:r w:rsidRPr="009F02EB">
        <w:rPr>
          <w:rFonts w:ascii="Palatino Linotype" w:eastAsia="Calibri" w:hAnsi="Palatino Linotype" w:cs="Arial"/>
          <w:sz w:val="24"/>
          <w:szCs w:val="24"/>
        </w:rPr>
        <w:t>de</w:t>
      </w:r>
      <w:r w:rsidR="001F0E58" w:rsidRPr="009F02EB">
        <w:rPr>
          <w:rFonts w:ascii="Palatino Linotype" w:eastAsia="Calibri" w:hAnsi="Palatino Linotype" w:cs="Arial"/>
          <w:sz w:val="24"/>
          <w:szCs w:val="24"/>
        </w:rPr>
        <w:t>l</w:t>
      </w:r>
      <w:r w:rsidRPr="009F02EB">
        <w:rPr>
          <w:rFonts w:ascii="Palatino Linotype" w:eastAsia="Calibri" w:hAnsi="Palatino Linotype" w:cs="Arial"/>
          <w:sz w:val="24"/>
          <w:szCs w:val="24"/>
        </w:rPr>
        <w:t xml:space="preserve"> </w:t>
      </w:r>
      <w:r w:rsidR="001F0E58" w:rsidRPr="009F02EB">
        <w:rPr>
          <w:rFonts w:ascii="Palatino Linotype" w:eastAsia="Calibri" w:hAnsi="Palatino Linotype" w:cs="Arial"/>
          <w:sz w:val="24"/>
          <w:szCs w:val="24"/>
        </w:rPr>
        <w:t xml:space="preserve">dos mil </w:t>
      </w:r>
      <w:r w:rsidR="00F44EAA" w:rsidRPr="009F02EB">
        <w:rPr>
          <w:rFonts w:ascii="Palatino Linotype" w:eastAsia="Calibri" w:hAnsi="Palatino Linotype" w:cs="Arial"/>
          <w:sz w:val="24"/>
          <w:szCs w:val="24"/>
        </w:rPr>
        <w:t>diecinueve</w:t>
      </w:r>
      <w:r w:rsidRPr="009F02EB">
        <w:rPr>
          <w:rFonts w:ascii="Palatino Linotype" w:eastAsia="Calibri" w:hAnsi="Palatino Linotype" w:cs="Arial"/>
          <w:sz w:val="24"/>
          <w:szCs w:val="24"/>
        </w:rPr>
        <w:t xml:space="preserve">, en el </w:t>
      </w:r>
      <w:r w:rsidR="005B2060" w:rsidRPr="009F02EB">
        <w:rPr>
          <w:rFonts w:ascii="Palatino Linotype" w:eastAsia="Calibri" w:hAnsi="Palatino Linotype" w:cs="Arial"/>
          <w:sz w:val="24"/>
          <w:szCs w:val="24"/>
        </w:rPr>
        <w:t xml:space="preserve">recurso </w:t>
      </w:r>
      <w:r w:rsidRPr="009F02EB">
        <w:rPr>
          <w:rFonts w:ascii="Palatino Linotype" w:eastAsia="Calibri" w:hAnsi="Palatino Linotype" w:cs="Arial"/>
          <w:sz w:val="24"/>
          <w:szCs w:val="24"/>
        </w:rPr>
        <w:t>de</w:t>
      </w:r>
      <w:r w:rsidR="00D11834" w:rsidRPr="009F02EB">
        <w:rPr>
          <w:rFonts w:ascii="Palatino Linotype" w:eastAsia="Calibri" w:hAnsi="Palatino Linotype" w:cs="Arial"/>
          <w:sz w:val="24"/>
          <w:szCs w:val="24"/>
        </w:rPr>
        <w:t xml:space="preserve"> </w:t>
      </w:r>
      <w:r w:rsidRPr="009F02EB">
        <w:rPr>
          <w:rFonts w:ascii="Palatino Linotype" w:eastAsia="Calibri" w:hAnsi="Palatino Linotype" w:cs="Arial"/>
          <w:sz w:val="24"/>
          <w:szCs w:val="24"/>
        </w:rPr>
        <w:t>revisión</w:t>
      </w:r>
      <w:r w:rsidR="00FE1030">
        <w:rPr>
          <w:rFonts w:ascii="Palatino Linotype" w:eastAsia="Calibri" w:hAnsi="Palatino Linotype" w:cs="Arial"/>
          <w:sz w:val="24"/>
          <w:szCs w:val="24"/>
        </w:rPr>
        <w:t xml:space="preserve"> </w:t>
      </w:r>
      <w:r w:rsidR="004E6D94" w:rsidRPr="009F02EB">
        <w:rPr>
          <w:rFonts w:ascii="Palatino Linotype" w:eastAsia="Calibri" w:hAnsi="Palatino Linotype" w:cs="Arial"/>
          <w:sz w:val="24"/>
          <w:szCs w:val="24"/>
        </w:rPr>
        <w:t xml:space="preserve"> </w:t>
      </w:r>
      <w:r w:rsidRPr="009F02EB">
        <w:rPr>
          <w:rFonts w:ascii="Palatino Linotype" w:eastAsia="Calibri" w:hAnsi="Palatino Linotype" w:cs="Arial"/>
          <w:sz w:val="24"/>
          <w:szCs w:val="24"/>
        </w:rPr>
        <w:t>interpuesto po</w:t>
      </w:r>
      <w:r w:rsidR="004C57A6" w:rsidRPr="009F02EB">
        <w:rPr>
          <w:rFonts w:ascii="Palatino Linotype" w:eastAsia="Calibri" w:hAnsi="Palatino Linotype" w:cs="Arial"/>
          <w:sz w:val="24"/>
          <w:szCs w:val="24"/>
        </w:rPr>
        <w:t>r</w:t>
      </w:r>
      <w:r w:rsidR="00436541" w:rsidRPr="009F02EB">
        <w:rPr>
          <w:rFonts w:ascii="Palatino Linotype" w:hAnsi="Palatino Linotype" w:cs="Arial"/>
          <w:b/>
          <w:sz w:val="24"/>
          <w:szCs w:val="24"/>
        </w:rPr>
        <w:t xml:space="preserve"> </w:t>
      </w:r>
      <w:r w:rsidR="00F44EAA" w:rsidRPr="009F02EB">
        <w:rPr>
          <w:rFonts w:ascii="Palatino Linotype" w:hAnsi="Palatino Linotype" w:cs="Arial"/>
          <w:sz w:val="24"/>
          <w:szCs w:val="24"/>
        </w:rPr>
        <w:t>el particular</w:t>
      </w:r>
      <w:r w:rsidR="00F44EAA" w:rsidRPr="009F02EB">
        <w:rPr>
          <w:rFonts w:ascii="Palatino Linotype" w:hAnsi="Palatino Linotype" w:cs="Arial"/>
          <w:b/>
          <w:sz w:val="24"/>
          <w:szCs w:val="24"/>
        </w:rPr>
        <w:t>,</w:t>
      </w:r>
      <w:r w:rsidR="00436541" w:rsidRPr="009F02EB">
        <w:rPr>
          <w:rFonts w:ascii="Palatino Linotype" w:hAnsi="Palatino Linotype"/>
          <w:b/>
          <w:sz w:val="24"/>
          <w:szCs w:val="24"/>
          <w:lang w:val="es-ES_tradnl"/>
        </w:rPr>
        <w:t xml:space="preserve"> </w:t>
      </w:r>
      <w:r w:rsidR="003E0648" w:rsidRPr="009F02EB">
        <w:rPr>
          <w:rFonts w:ascii="Palatino Linotype" w:eastAsia="Calibri" w:hAnsi="Palatino Linotype" w:cs="Arial"/>
          <w:sz w:val="24"/>
          <w:szCs w:val="24"/>
        </w:rPr>
        <w:t>en contra de la respuesta</w:t>
      </w:r>
      <w:r w:rsidR="00F56428">
        <w:rPr>
          <w:rFonts w:ascii="Palatino Linotype" w:eastAsia="Calibri" w:hAnsi="Palatino Linotype" w:cs="Arial"/>
          <w:sz w:val="24"/>
          <w:szCs w:val="24"/>
        </w:rPr>
        <w:t xml:space="preserve"> </w:t>
      </w:r>
      <w:r w:rsidR="00472C78" w:rsidRPr="00225470">
        <w:rPr>
          <w:rFonts w:ascii="Palatino Linotype" w:eastAsia="Calibri" w:hAnsi="Palatino Linotype" w:cs="Arial"/>
          <w:sz w:val="24"/>
          <w:szCs w:val="24"/>
        </w:rPr>
        <w:t>de</w:t>
      </w:r>
      <w:r w:rsidR="001A62C6">
        <w:rPr>
          <w:rFonts w:ascii="Palatino Linotype" w:eastAsia="Calibri" w:hAnsi="Palatino Linotype" w:cs="Arial"/>
          <w:sz w:val="24"/>
          <w:szCs w:val="24"/>
        </w:rPr>
        <w:t xml:space="preserve"> </w:t>
      </w:r>
      <w:r w:rsidR="00F56428">
        <w:rPr>
          <w:rFonts w:ascii="Palatino Linotype" w:eastAsia="Calibri" w:hAnsi="Palatino Linotype" w:cs="Arial"/>
          <w:sz w:val="24"/>
          <w:szCs w:val="24"/>
        </w:rPr>
        <w:t>l</w:t>
      </w:r>
      <w:r w:rsidR="001A62C6">
        <w:rPr>
          <w:rFonts w:ascii="Palatino Linotype" w:eastAsia="Calibri" w:hAnsi="Palatino Linotype" w:cs="Arial"/>
          <w:sz w:val="24"/>
          <w:szCs w:val="24"/>
        </w:rPr>
        <w:t>a</w:t>
      </w:r>
      <w:r w:rsidR="001A62C6" w:rsidRPr="001A62C6">
        <w:rPr>
          <w:rFonts w:ascii="Palatino Linotype" w:hAnsi="Palatino Linotype" w:cs="Arial"/>
          <w:b/>
        </w:rPr>
        <w:t xml:space="preserve"> </w:t>
      </w:r>
      <w:r w:rsidR="001A62C6" w:rsidRPr="001A62C6">
        <w:rPr>
          <w:rFonts w:ascii="Palatino Linotype" w:hAnsi="Palatino Linotype" w:cs="Arial"/>
          <w:b/>
          <w:sz w:val="24"/>
          <w:szCs w:val="24"/>
        </w:rPr>
        <w:t>Universidad Politécnica del Valle de Toluca</w:t>
      </w:r>
      <w:r w:rsidR="0036569E" w:rsidRPr="00D206BF">
        <w:rPr>
          <w:rFonts w:ascii="Palatino Linotype" w:eastAsia="Calibri" w:hAnsi="Palatino Linotype" w:cs="Arial"/>
          <w:sz w:val="24"/>
          <w:szCs w:val="24"/>
        </w:rPr>
        <w:t>,</w:t>
      </w:r>
      <w:r w:rsidR="0036569E">
        <w:rPr>
          <w:rFonts w:ascii="Palatino Linotype" w:eastAsia="Calibri" w:hAnsi="Palatino Linotype" w:cs="Arial"/>
          <w:sz w:val="24"/>
          <w:szCs w:val="24"/>
        </w:rPr>
        <w:t xml:space="preserve"> </w:t>
      </w:r>
      <w:r w:rsidRPr="008049C8">
        <w:rPr>
          <w:rFonts w:ascii="Palatino Linotype" w:eastAsia="Calibri" w:hAnsi="Palatino Linotype" w:cs="Arial"/>
          <w:sz w:val="24"/>
          <w:szCs w:val="24"/>
        </w:rPr>
        <w:t>pr</w:t>
      </w:r>
      <w:r w:rsidRPr="009F02EB">
        <w:rPr>
          <w:rFonts w:ascii="Palatino Linotype" w:eastAsia="Calibri" w:hAnsi="Palatino Linotype" w:cs="Arial"/>
          <w:sz w:val="24"/>
          <w:szCs w:val="24"/>
        </w:rPr>
        <w:t>ocedimiento que le fue asignado el número de expediente</w:t>
      </w:r>
      <w:r w:rsidR="00DB39B5" w:rsidRPr="009F02EB">
        <w:rPr>
          <w:rFonts w:ascii="Palatino Linotype" w:eastAsia="Calibri" w:hAnsi="Palatino Linotype" w:cs="Arial"/>
          <w:sz w:val="24"/>
          <w:szCs w:val="24"/>
        </w:rPr>
        <w:t xml:space="preserve"> </w:t>
      </w:r>
      <w:r w:rsidR="001A62C6" w:rsidRPr="00DD59EA">
        <w:rPr>
          <w:rFonts w:ascii="Palatino Linotype" w:hAnsi="Palatino Linotype" w:cs="Arial"/>
          <w:b/>
        </w:rPr>
        <w:t xml:space="preserve">00567/INFOEM/IP/RR/2019 </w:t>
      </w:r>
      <w:r w:rsidR="001A62C6" w:rsidRPr="00DD59EA">
        <w:rPr>
          <w:rFonts w:ascii="Palatino Linotype" w:hAnsi="Palatino Linotype" w:cs="Arial"/>
        </w:rPr>
        <w:t xml:space="preserve">y </w:t>
      </w:r>
      <w:r w:rsidR="001A62C6" w:rsidRPr="00DD59EA">
        <w:rPr>
          <w:rFonts w:ascii="Palatino Linotype" w:hAnsi="Palatino Linotype" w:cs="Arial"/>
          <w:b/>
        </w:rPr>
        <w:t>00568/INFOEM/IP/RR/2019</w:t>
      </w:r>
      <w:r w:rsidR="001A62C6">
        <w:rPr>
          <w:rFonts w:ascii="Palatino Linotype" w:hAnsi="Palatino Linotype" w:cs="Arial"/>
          <w:b/>
        </w:rPr>
        <w:t>.</w:t>
      </w:r>
    </w:p>
    <w:p w:rsidR="00E6179D" w:rsidRPr="008C1CB4" w:rsidRDefault="00E6179D" w:rsidP="00E6179D">
      <w:pPr>
        <w:spacing w:after="0" w:line="360" w:lineRule="auto"/>
        <w:contextualSpacing/>
        <w:jc w:val="both"/>
        <w:rPr>
          <w:rFonts w:ascii="Palatino Linotype" w:eastAsia="Calibri" w:hAnsi="Palatino Linotype" w:cs="Arial"/>
          <w:sz w:val="24"/>
          <w:szCs w:val="24"/>
        </w:rPr>
      </w:pPr>
    </w:p>
    <w:p w:rsidR="00E6179D" w:rsidRPr="00427B79" w:rsidRDefault="00E6179D" w:rsidP="00B41044">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 xml:space="preserve">La resolución puntualmente </w:t>
      </w:r>
      <w:r w:rsidRPr="00F44EAA">
        <w:rPr>
          <w:rFonts w:ascii="Palatino Linotype" w:eastAsia="Calibri" w:hAnsi="Palatino Linotype" w:cs="Arial"/>
          <w:sz w:val="24"/>
          <w:szCs w:val="24"/>
        </w:rPr>
        <w:t xml:space="preserve">determina </w:t>
      </w:r>
      <w:r w:rsidR="001A62C6">
        <w:rPr>
          <w:rFonts w:ascii="Palatino Linotype" w:eastAsia="Calibri" w:hAnsi="Palatino Linotype" w:cs="Arial"/>
          <w:b/>
          <w:sz w:val="24"/>
          <w:szCs w:val="24"/>
        </w:rPr>
        <w:t>REVOCAR</w:t>
      </w:r>
      <w:r w:rsidRPr="00427B79">
        <w:rPr>
          <w:rFonts w:ascii="Palatino Linotype" w:eastAsia="Calibri" w:hAnsi="Palatino Linotype" w:cs="Arial"/>
          <w:sz w:val="24"/>
          <w:szCs w:val="24"/>
        </w:rPr>
        <w:t xml:space="preserve"> el recurso de revisión, tomando en consideración la respuesta del Sujeto Obligado.</w:t>
      </w:r>
    </w:p>
    <w:p w:rsidR="00E6179D" w:rsidRPr="00427B79" w:rsidRDefault="00E6179D" w:rsidP="00E6179D">
      <w:pPr>
        <w:spacing w:after="0" w:line="360" w:lineRule="auto"/>
        <w:contextualSpacing/>
        <w:jc w:val="both"/>
        <w:rPr>
          <w:rFonts w:ascii="Palatino Linotype" w:eastAsia="Calibri" w:hAnsi="Palatino Linotype" w:cs="Arial"/>
          <w:sz w:val="24"/>
          <w:szCs w:val="24"/>
        </w:rPr>
      </w:pPr>
    </w:p>
    <w:p w:rsidR="009447DE" w:rsidRPr="004006D9" w:rsidRDefault="009447DE" w:rsidP="009447DE">
      <w:pPr>
        <w:pStyle w:val="Prrafodelista"/>
        <w:numPr>
          <w:ilvl w:val="0"/>
          <w:numId w:val="1"/>
        </w:numPr>
        <w:spacing w:line="360" w:lineRule="auto"/>
        <w:ind w:left="0" w:firstLine="0"/>
        <w:jc w:val="both"/>
        <w:rPr>
          <w:rFonts w:ascii="Palatino Linotype" w:eastAsia="Calibri" w:hAnsi="Palatino Linotype" w:cs="Arial"/>
          <w:sz w:val="24"/>
          <w:szCs w:val="24"/>
        </w:rPr>
      </w:pPr>
      <w:r w:rsidRPr="00E63C30">
        <w:rPr>
          <w:rFonts w:ascii="Palatino Linotype" w:eastAsia="Calibri" w:hAnsi="Palatino Linotype" w:cs="Arial"/>
          <w:sz w:val="24"/>
          <w:szCs w:val="24"/>
        </w:rPr>
        <w:t xml:space="preserve">Estando de acuerdo con la resolución formulada por el comisionado ponente, mi voto particular consiste en que lo ordenado por este Pleno, no solo basta con  el simple pronunciamiento que el </w:t>
      </w:r>
      <w:r w:rsidRPr="009447DE">
        <w:rPr>
          <w:rFonts w:ascii="Palatino Linotype" w:eastAsia="Calibri" w:hAnsi="Palatino Linotype" w:cs="Arial"/>
          <w:b/>
          <w:sz w:val="24"/>
          <w:szCs w:val="24"/>
        </w:rPr>
        <w:t>SUJETO OBLIGADO</w:t>
      </w:r>
      <w:r w:rsidRPr="00E63C30">
        <w:rPr>
          <w:rFonts w:ascii="Palatino Linotype" w:eastAsia="Calibri" w:hAnsi="Palatino Linotype" w:cs="Arial"/>
          <w:sz w:val="24"/>
          <w:szCs w:val="24"/>
        </w:rPr>
        <w:t xml:space="preserve"> realice al momento de dar cumplimiento a la misma, sino que deberá manifestar de manera precisa y clara las razones que expliquen las causas por las que no se haya poseído, generado y/o administrado la información solicitada.  </w:t>
      </w:r>
    </w:p>
    <w:p w:rsidR="00E6179D" w:rsidRPr="00427B79" w:rsidRDefault="00E6179D" w:rsidP="00E6179D">
      <w:pPr>
        <w:pStyle w:val="Prrafodelista"/>
        <w:ind w:left="0"/>
        <w:rPr>
          <w:rFonts w:ascii="Palatino Linotype" w:eastAsia="Calibri" w:hAnsi="Palatino Linotype" w:cs="Arial"/>
          <w:sz w:val="24"/>
          <w:szCs w:val="24"/>
          <w:lang w:val="es-ES"/>
        </w:rPr>
      </w:pPr>
    </w:p>
    <w:p w:rsidR="00E6179D" w:rsidRPr="00427B79" w:rsidRDefault="00E6179D" w:rsidP="00B41044">
      <w:pPr>
        <w:numPr>
          <w:ilvl w:val="0"/>
          <w:numId w:val="1"/>
        </w:numPr>
        <w:spacing w:after="0" w:line="360" w:lineRule="auto"/>
        <w:ind w:left="0" w:firstLine="0"/>
        <w:contextualSpacing/>
        <w:jc w:val="both"/>
        <w:rPr>
          <w:rFonts w:ascii="Palatino Linotype" w:eastAsia="Calibri" w:hAnsi="Palatino Linotype" w:cs="Arial"/>
          <w:sz w:val="24"/>
          <w:szCs w:val="24"/>
          <w:lang w:val="es-ES"/>
        </w:rPr>
      </w:pPr>
      <w:r w:rsidRPr="00427B79">
        <w:rPr>
          <w:rFonts w:ascii="Palatino Linotype" w:eastAsia="Calibri" w:hAnsi="Palatino Linotype" w:cs="Arial"/>
          <w:sz w:val="24"/>
          <w:szCs w:val="24"/>
          <w:lang w:val="es-ES"/>
        </w:rPr>
        <w:t>Por</w:t>
      </w:r>
      <w:r w:rsidRPr="00427B79">
        <w:rPr>
          <w:rFonts w:ascii="Palatino Linotype" w:eastAsia="Calibri" w:hAnsi="Palatino Linotype" w:cs="Arial"/>
          <w:sz w:val="24"/>
          <w:szCs w:val="24"/>
        </w:rPr>
        <w:t xml:space="preserve"> tal motivo y en términos de lo señalado por el artículo 14 fracción XI del Reglamento Interior del Instituto de Transparencia y Acceso a la Información Pública del Estado de México y Municipios formulo el presente voto particular.</w:t>
      </w:r>
    </w:p>
    <w:p w:rsidR="00E6179D" w:rsidRPr="00427B79" w:rsidRDefault="00E6179D" w:rsidP="00E6179D">
      <w:pPr>
        <w:pStyle w:val="Prrafodelista"/>
        <w:ind w:left="0"/>
        <w:rPr>
          <w:rFonts w:ascii="Palatino Linotype" w:eastAsia="Calibri" w:hAnsi="Palatino Linotype" w:cs="Arial"/>
          <w:sz w:val="24"/>
          <w:szCs w:val="24"/>
          <w:lang w:val="es-ES"/>
        </w:rPr>
      </w:pPr>
    </w:p>
    <w:p w:rsidR="00E6179D" w:rsidRDefault="00E6179D" w:rsidP="00B41044">
      <w:pPr>
        <w:pStyle w:val="Ttulo1"/>
        <w:numPr>
          <w:ilvl w:val="0"/>
          <w:numId w:val="2"/>
        </w:numPr>
        <w:ind w:left="0" w:firstLine="0"/>
        <w:rPr>
          <w:rFonts w:eastAsia="Calibri"/>
          <w:color w:val="auto"/>
          <w:szCs w:val="24"/>
          <w:lang w:val="es-ES"/>
        </w:rPr>
      </w:pPr>
      <w:bookmarkStart w:id="2" w:name="_Toc7187817"/>
      <w:r w:rsidRPr="00427B79">
        <w:rPr>
          <w:rFonts w:eastAsia="Calibri"/>
          <w:color w:val="auto"/>
          <w:szCs w:val="24"/>
          <w:lang w:val="es-ES"/>
        </w:rPr>
        <w:t>De los requerimientos planteados en el recurso de revisión.</w:t>
      </w:r>
      <w:bookmarkEnd w:id="2"/>
    </w:p>
    <w:p w:rsidR="00821FE4" w:rsidRPr="00821FE4" w:rsidRDefault="00821FE4" w:rsidP="00821FE4">
      <w:pPr>
        <w:rPr>
          <w:lang w:val="es-ES"/>
        </w:rPr>
      </w:pPr>
    </w:p>
    <w:p w:rsidR="003C0D78" w:rsidRPr="008049C8" w:rsidRDefault="00E6179D" w:rsidP="008049C8">
      <w:pPr>
        <w:pStyle w:val="Sinespaciado"/>
        <w:spacing w:line="360" w:lineRule="auto"/>
        <w:ind w:left="567" w:right="567"/>
        <w:jc w:val="both"/>
        <w:rPr>
          <w:rFonts w:ascii="Palatino Linotype" w:eastAsia="Calibri" w:hAnsi="Palatino Linotype" w:cs="Times New Roman"/>
          <w:sz w:val="24"/>
          <w:szCs w:val="24"/>
        </w:rPr>
      </w:pPr>
      <w:r w:rsidRPr="00D93A70">
        <w:rPr>
          <w:rFonts w:ascii="Palatino Linotype" w:eastAsia="Calibri" w:hAnsi="Palatino Linotype" w:cs="Arial"/>
          <w:sz w:val="24"/>
          <w:szCs w:val="24"/>
          <w:lang w:val="es-ES"/>
        </w:rPr>
        <w:lastRenderedPageBreak/>
        <w:t xml:space="preserve">En </w:t>
      </w:r>
      <w:r w:rsidRPr="00D93A70">
        <w:rPr>
          <w:rFonts w:ascii="Palatino Linotype" w:eastAsia="Calibri" w:hAnsi="Palatino Linotype" w:cs="Times New Roman"/>
          <w:sz w:val="24"/>
          <w:szCs w:val="24"/>
        </w:rPr>
        <w:t xml:space="preserve">ejercicio del derecho constitucional que </w:t>
      </w:r>
      <w:r w:rsidR="00860A8A">
        <w:rPr>
          <w:rFonts w:ascii="Palatino Linotype" w:eastAsia="Calibri" w:hAnsi="Palatino Linotype" w:cs="Times New Roman"/>
          <w:sz w:val="24"/>
          <w:szCs w:val="24"/>
        </w:rPr>
        <w:t xml:space="preserve"> </w:t>
      </w:r>
      <w:r w:rsidRPr="00D93A70">
        <w:rPr>
          <w:rFonts w:ascii="Palatino Linotype" w:eastAsia="Calibri" w:hAnsi="Palatino Linotype" w:cs="Times New Roman"/>
          <w:sz w:val="24"/>
          <w:szCs w:val="24"/>
        </w:rPr>
        <w:t>le asiste al particular, formuló una solicitu</w:t>
      </w:r>
      <w:r w:rsidR="003E0648" w:rsidRPr="00D93A70">
        <w:rPr>
          <w:rFonts w:ascii="Palatino Linotype" w:eastAsia="Calibri" w:hAnsi="Palatino Linotype" w:cs="Times New Roman"/>
          <w:sz w:val="24"/>
          <w:szCs w:val="24"/>
        </w:rPr>
        <w:t xml:space="preserve">d de información dirigida </w:t>
      </w:r>
      <w:r w:rsidR="003E0648" w:rsidRPr="00FE645C">
        <w:rPr>
          <w:rFonts w:ascii="Palatino Linotype" w:eastAsia="Calibri" w:hAnsi="Palatino Linotype" w:cs="Times New Roman"/>
          <w:sz w:val="24"/>
          <w:szCs w:val="24"/>
        </w:rPr>
        <w:t>hacia</w:t>
      </w:r>
      <w:r w:rsidR="001A62C6">
        <w:rPr>
          <w:rFonts w:ascii="Palatino Linotype" w:eastAsia="Calibri" w:hAnsi="Palatino Linotype" w:cs="Times New Roman"/>
          <w:sz w:val="24"/>
          <w:szCs w:val="24"/>
        </w:rPr>
        <w:t xml:space="preserve"> la</w:t>
      </w:r>
      <w:r w:rsidR="001A62C6" w:rsidRPr="001A62C6">
        <w:rPr>
          <w:rFonts w:ascii="Palatino Linotype" w:hAnsi="Palatino Linotype" w:cs="Arial"/>
          <w:b/>
          <w:sz w:val="24"/>
          <w:szCs w:val="24"/>
        </w:rPr>
        <w:t xml:space="preserve"> Universidad Politécnica del Valle de Toluca</w:t>
      </w:r>
      <w:r w:rsidR="00D206BF" w:rsidRPr="00D206BF">
        <w:rPr>
          <w:rFonts w:ascii="Palatino Linotype" w:eastAsia="Calibri" w:hAnsi="Palatino Linotype" w:cs="Arial"/>
          <w:sz w:val="24"/>
          <w:szCs w:val="24"/>
        </w:rPr>
        <w:t>,</w:t>
      </w:r>
      <w:r w:rsidR="00D206BF">
        <w:rPr>
          <w:rFonts w:ascii="Palatino Linotype" w:hAnsi="Palatino Linotype"/>
          <w:sz w:val="24"/>
          <w:szCs w:val="24"/>
        </w:rPr>
        <w:t xml:space="preserve"> </w:t>
      </w:r>
      <w:r w:rsidR="00225470" w:rsidRPr="00225470">
        <w:rPr>
          <w:rFonts w:ascii="Palatino Linotype" w:hAnsi="Palatino Linotype" w:cs="Arial"/>
          <w:b/>
          <w:sz w:val="24"/>
          <w:szCs w:val="24"/>
        </w:rPr>
        <w:t xml:space="preserve"> </w:t>
      </w:r>
      <w:r w:rsidR="00466F4A" w:rsidRPr="00D93A70">
        <w:rPr>
          <w:rFonts w:ascii="Palatino Linotype" w:eastAsia="Calibri" w:hAnsi="Palatino Linotype" w:cs="Times New Roman"/>
          <w:sz w:val="24"/>
          <w:szCs w:val="24"/>
        </w:rPr>
        <w:t>en dicha</w:t>
      </w:r>
      <w:r w:rsidR="005C0258" w:rsidRPr="00D93A70">
        <w:rPr>
          <w:rFonts w:ascii="Palatino Linotype" w:eastAsia="Calibri" w:hAnsi="Palatino Linotype" w:cs="Times New Roman"/>
          <w:sz w:val="24"/>
          <w:szCs w:val="24"/>
        </w:rPr>
        <w:t xml:space="preserve"> solicitud planteó lo </w:t>
      </w:r>
      <w:r w:rsidRPr="00D93A70">
        <w:rPr>
          <w:rFonts w:ascii="Palatino Linotype" w:eastAsia="Calibri" w:hAnsi="Palatino Linotype" w:cs="Times New Roman"/>
          <w:sz w:val="24"/>
          <w:szCs w:val="24"/>
        </w:rPr>
        <w:t>siguient</w:t>
      </w:r>
      <w:r w:rsidR="00480F5B" w:rsidRPr="00D93A70">
        <w:rPr>
          <w:rFonts w:ascii="Palatino Linotype" w:eastAsia="Calibri" w:hAnsi="Palatino Linotype" w:cs="Times New Roman"/>
          <w:sz w:val="24"/>
          <w:szCs w:val="24"/>
        </w:rPr>
        <w:t>e</w:t>
      </w:r>
      <w:r w:rsidR="006262ED" w:rsidRPr="00D93A70">
        <w:rPr>
          <w:rFonts w:ascii="Palatino Linotype" w:eastAsia="Calibri" w:hAnsi="Palatino Linotype" w:cs="Times New Roman"/>
          <w:sz w:val="24"/>
          <w:szCs w:val="24"/>
        </w:rPr>
        <w:t>:</w:t>
      </w:r>
      <w:r w:rsidR="00C17563">
        <w:rPr>
          <w:rFonts w:ascii="Palatino Linotype" w:eastAsia="Calibri" w:hAnsi="Palatino Linotype" w:cs="Times New Roman"/>
          <w:sz w:val="24"/>
          <w:szCs w:val="24"/>
        </w:rPr>
        <w:t xml:space="preserve"> </w:t>
      </w:r>
    </w:p>
    <w:p w:rsidR="00D206BF" w:rsidRDefault="00D206BF" w:rsidP="00D206BF">
      <w:pPr>
        <w:pStyle w:val="Sinespaciado"/>
        <w:spacing w:line="360" w:lineRule="auto"/>
        <w:jc w:val="both"/>
        <w:rPr>
          <w:rFonts w:ascii="Palatino Linotype" w:hAnsi="Palatino Linotype"/>
          <w:b/>
          <w:bCs/>
          <w:color w:val="000000" w:themeColor="text1"/>
          <w:u w:val="single"/>
        </w:rPr>
      </w:pPr>
    </w:p>
    <w:p w:rsidR="00355ED5" w:rsidRPr="00355ED5" w:rsidRDefault="00355ED5" w:rsidP="00355ED5">
      <w:pPr>
        <w:spacing w:before="100" w:beforeAutospacing="1" w:after="100" w:afterAutospacing="1" w:line="240" w:lineRule="auto"/>
        <w:ind w:left="851" w:right="899"/>
        <w:jc w:val="both"/>
        <w:rPr>
          <w:rFonts w:ascii="Palatino Linotype" w:eastAsia="Times New Roman" w:hAnsi="Palatino Linotype" w:cs="Arial"/>
          <w:i/>
          <w:szCs w:val="24"/>
          <w:lang w:eastAsia="es-ES"/>
        </w:rPr>
      </w:pPr>
      <w:r w:rsidRPr="00355ED5">
        <w:rPr>
          <w:rFonts w:ascii="Palatino Linotype" w:eastAsia="Times New Roman" w:hAnsi="Palatino Linotype" w:cs="Times New Roman"/>
          <w:b/>
          <w:bCs/>
          <w:sz w:val="24"/>
          <w:szCs w:val="24"/>
          <w:lang w:eastAsia="es-ES"/>
        </w:rPr>
        <w:t>00073/UPVT/IP/2019</w:t>
      </w:r>
      <w:r w:rsidRPr="00355ED5">
        <w:rPr>
          <w:rFonts w:ascii="Palatino Linotype" w:eastAsia="Times New Roman" w:hAnsi="Palatino Linotype" w:cs="Arial"/>
          <w:i/>
          <w:szCs w:val="24"/>
          <w:lang w:eastAsia="es-ES"/>
        </w:rPr>
        <w:t xml:space="preserve">  “Cantidades adeudadas por concepto de sueldos y salarios al día de hoy al Maestro en Economía y Negocios Internacionales Diego Gorostieta Solorzano y mencionar porque existe tal adeudo.” (Sic)</w:t>
      </w:r>
    </w:p>
    <w:p w:rsidR="00355ED5" w:rsidRPr="00355ED5" w:rsidRDefault="00355ED5" w:rsidP="00355ED5">
      <w:pPr>
        <w:spacing w:before="100" w:beforeAutospacing="1" w:after="100" w:afterAutospacing="1" w:line="240" w:lineRule="auto"/>
        <w:ind w:left="851" w:right="899"/>
        <w:jc w:val="both"/>
        <w:rPr>
          <w:rFonts w:ascii="Palatino Linotype" w:eastAsia="Times New Roman" w:hAnsi="Palatino Linotype" w:cs="Arial"/>
          <w:i/>
          <w:szCs w:val="24"/>
          <w:lang w:eastAsia="es-ES"/>
        </w:rPr>
      </w:pPr>
      <w:r w:rsidRPr="00355ED5">
        <w:rPr>
          <w:rFonts w:ascii="Palatino Linotype" w:eastAsia="Times New Roman" w:hAnsi="Palatino Linotype" w:cs="Times New Roman"/>
          <w:b/>
          <w:bCs/>
          <w:sz w:val="24"/>
          <w:szCs w:val="24"/>
          <w:lang w:eastAsia="es-ES"/>
        </w:rPr>
        <w:t xml:space="preserve">00072/UPVT/IP/2019 </w:t>
      </w:r>
      <w:r w:rsidRPr="00355ED5">
        <w:rPr>
          <w:rFonts w:ascii="Palatino Linotype" w:eastAsia="Times New Roman" w:hAnsi="Palatino Linotype" w:cs="Arial"/>
          <w:i/>
          <w:szCs w:val="24"/>
          <w:lang w:eastAsia="es-ES"/>
        </w:rPr>
        <w:t>“Aumento de sueldo que se le género al Maestro en Economía y Negocios Internacionales Diego Gorostieta Solorzano durante el año 2018, señalando a partir de que fecha fue objeto dicho incremento y las evidencias del pago correspondiente.”(Sic)</w:t>
      </w:r>
    </w:p>
    <w:p w:rsidR="003C0D78" w:rsidRDefault="003C0D78" w:rsidP="004D66C5">
      <w:pPr>
        <w:pStyle w:val="Sinespaciado"/>
        <w:spacing w:line="360" w:lineRule="auto"/>
        <w:ind w:left="567" w:right="567"/>
        <w:jc w:val="both"/>
        <w:rPr>
          <w:rFonts w:ascii="Palatino Linotype" w:eastAsia="Calibri" w:hAnsi="Palatino Linotype" w:cs="Times New Roman"/>
          <w:sz w:val="24"/>
          <w:szCs w:val="24"/>
        </w:rPr>
      </w:pPr>
    </w:p>
    <w:p w:rsidR="000E4D6E" w:rsidRPr="002B6741" w:rsidRDefault="00E6179D" w:rsidP="008C1CB4">
      <w:pPr>
        <w:pStyle w:val="Prrafodelista"/>
        <w:numPr>
          <w:ilvl w:val="0"/>
          <w:numId w:val="1"/>
        </w:numPr>
        <w:autoSpaceDE w:val="0"/>
        <w:autoSpaceDN w:val="0"/>
        <w:adjustRightInd w:val="0"/>
        <w:spacing w:line="360" w:lineRule="auto"/>
        <w:ind w:left="0" w:right="49" w:firstLine="0"/>
        <w:jc w:val="both"/>
        <w:rPr>
          <w:rFonts w:ascii="Palatino Linotype" w:eastAsia="Calibri" w:hAnsi="Palatino Linotype" w:cs="Arial"/>
          <w:sz w:val="24"/>
          <w:szCs w:val="24"/>
        </w:rPr>
      </w:pPr>
      <w:r w:rsidRPr="002B6741">
        <w:rPr>
          <w:rFonts w:ascii="Palatino Linotype" w:eastAsia="Calibri" w:hAnsi="Palatino Linotype" w:cs="Arial"/>
          <w:sz w:val="24"/>
          <w:szCs w:val="24"/>
        </w:rPr>
        <w:t xml:space="preserve">Bajo esas consideraciones la Ponencia </w:t>
      </w:r>
      <w:r w:rsidR="00FD1FAD" w:rsidRPr="002B6741">
        <w:rPr>
          <w:rFonts w:ascii="Palatino Linotype" w:eastAsia="Calibri" w:hAnsi="Palatino Linotype" w:cs="Arial"/>
          <w:sz w:val="24"/>
          <w:szCs w:val="24"/>
        </w:rPr>
        <w:t>que resuelve el recurso de revisión</w:t>
      </w:r>
      <w:r w:rsidRPr="002B6741">
        <w:rPr>
          <w:rFonts w:ascii="Palatino Linotype" w:eastAsia="Calibri" w:hAnsi="Palatino Linotype" w:cs="Arial"/>
          <w:sz w:val="24"/>
          <w:szCs w:val="24"/>
        </w:rPr>
        <w:t xml:space="preserve"> para no realizar una afectación al derecho de acceso a la información del particular, decidió por cuenta propia entrar al estudio y análisis del asunto a efecto de </w:t>
      </w:r>
      <w:r w:rsidR="00FD1FAD" w:rsidRPr="002B6741">
        <w:rPr>
          <w:rFonts w:ascii="Palatino Linotype" w:eastAsia="Calibri" w:hAnsi="Palatino Linotype" w:cs="Arial"/>
          <w:sz w:val="24"/>
          <w:szCs w:val="24"/>
        </w:rPr>
        <w:t>verificar si existe fu</w:t>
      </w:r>
      <w:r w:rsidR="00D206BF">
        <w:rPr>
          <w:rFonts w:ascii="Palatino Linotype" w:eastAsia="Calibri" w:hAnsi="Palatino Linotype" w:cs="Arial"/>
          <w:sz w:val="24"/>
          <w:szCs w:val="24"/>
        </w:rPr>
        <w:t xml:space="preserve">ente obligacional por parte </w:t>
      </w:r>
      <w:r w:rsidR="003C0D78">
        <w:rPr>
          <w:rFonts w:ascii="Palatino Linotype" w:eastAsia="Calibri" w:hAnsi="Palatino Linotype" w:cs="Arial"/>
          <w:sz w:val="24"/>
          <w:szCs w:val="24"/>
        </w:rPr>
        <w:t>d</w:t>
      </w:r>
      <w:r w:rsidR="00CC6106">
        <w:rPr>
          <w:rFonts w:ascii="Palatino Linotype" w:eastAsia="Calibri" w:hAnsi="Palatino Linotype" w:cs="Arial"/>
          <w:sz w:val="24"/>
          <w:szCs w:val="24"/>
        </w:rPr>
        <w:t>e</w:t>
      </w:r>
      <w:r w:rsidR="00355ED5">
        <w:rPr>
          <w:rFonts w:ascii="Palatino Linotype" w:eastAsia="Calibri" w:hAnsi="Palatino Linotype" w:cs="Arial"/>
          <w:sz w:val="24"/>
          <w:szCs w:val="24"/>
        </w:rPr>
        <w:t xml:space="preserve"> </w:t>
      </w:r>
      <w:r w:rsidR="00D206BF">
        <w:rPr>
          <w:rFonts w:ascii="Palatino Linotype" w:eastAsia="Calibri" w:hAnsi="Palatino Linotype" w:cs="Arial"/>
          <w:sz w:val="24"/>
          <w:szCs w:val="24"/>
        </w:rPr>
        <w:t>l</w:t>
      </w:r>
      <w:r w:rsidR="00355ED5">
        <w:rPr>
          <w:rFonts w:ascii="Palatino Linotype" w:eastAsia="Calibri" w:hAnsi="Palatino Linotype" w:cs="Arial"/>
          <w:sz w:val="24"/>
          <w:szCs w:val="24"/>
        </w:rPr>
        <w:t>a</w:t>
      </w:r>
      <w:r w:rsidR="00355ED5" w:rsidRPr="00355ED5">
        <w:rPr>
          <w:rFonts w:ascii="Palatino Linotype" w:hAnsi="Palatino Linotype" w:cs="Arial"/>
          <w:b/>
          <w:sz w:val="24"/>
          <w:szCs w:val="24"/>
        </w:rPr>
        <w:t xml:space="preserve"> </w:t>
      </w:r>
      <w:r w:rsidR="00355ED5" w:rsidRPr="001A62C6">
        <w:rPr>
          <w:rFonts w:ascii="Palatino Linotype" w:hAnsi="Palatino Linotype" w:cs="Arial"/>
          <w:b/>
          <w:sz w:val="24"/>
          <w:szCs w:val="24"/>
        </w:rPr>
        <w:t>Universidad Politécnica del Valle de Toluca</w:t>
      </w:r>
      <w:r w:rsidR="00D206BF" w:rsidRPr="00D206BF">
        <w:rPr>
          <w:rFonts w:ascii="Palatino Linotype" w:eastAsia="Calibri" w:hAnsi="Palatino Linotype" w:cs="Arial"/>
          <w:sz w:val="24"/>
          <w:szCs w:val="24"/>
        </w:rPr>
        <w:t>,</w:t>
      </w:r>
      <w:r w:rsidR="00D206BF">
        <w:rPr>
          <w:rFonts w:ascii="Palatino Linotype" w:eastAsia="Calibri" w:hAnsi="Palatino Linotype" w:cs="Arial"/>
          <w:sz w:val="24"/>
          <w:szCs w:val="24"/>
        </w:rPr>
        <w:t xml:space="preserve"> </w:t>
      </w:r>
      <w:r w:rsidR="00FD1FAD" w:rsidRPr="002B6741">
        <w:rPr>
          <w:rFonts w:ascii="Palatino Linotype" w:eastAsia="Calibri" w:hAnsi="Palatino Linotype" w:cs="Arial"/>
          <w:sz w:val="24"/>
          <w:szCs w:val="24"/>
        </w:rPr>
        <w:t xml:space="preserve">y así ordenar que se realice una búsqueda exhaustiva en los archivos </w:t>
      </w:r>
      <w:r w:rsidR="00B16CE1" w:rsidRPr="002B6741">
        <w:rPr>
          <w:rFonts w:ascii="Palatino Linotype" w:eastAsia="Calibri" w:hAnsi="Palatino Linotype" w:cs="Arial"/>
          <w:sz w:val="24"/>
          <w:szCs w:val="24"/>
        </w:rPr>
        <w:t xml:space="preserve">del </w:t>
      </w:r>
      <w:r w:rsidR="00FD1FAD" w:rsidRPr="002B6741">
        <w:rPr>
          <w:rFonts w:ascii="Palatino Linotype" w:eastAsia="Calibri" w:hAnsi="Palatino Linotype" w:cs="Arial"/>
          <w:b/>
          <w:sz w:val="24"/>
          <w:szCs w:val="24"/>
        </w:rPr>
        <w:t>SUJETO OBLIGADO</w:t>
      </w:r>
      <w:r w:rsidR="0006430D" w:rsidRPr="002B6741">
        <w:rPr>
          <w:rFonts w:ascii="Palatino Linotype" w:eastAsia="Calibri" w:hAnsi="Palatino Linotype" w:cs="Arial"/>
          <w:b/>
          <w:sz w:val="24"/>
          <w:szCs w:val="24"/>
        </w:rPr>
        <w:t>.</w:t>
      </w:r>
    </w:p>
    <w:p w:rsidR="000E4D6E" w:rsidRPr="000E4D6E" w:rsidRDefault="000E4D6E" w:rsidP="003D74AD">
      <w:pPr>
        <w:pStyle w:val="Prrafodelista"/>
        <w:spacing w:line="360" w:lineRule="auto"/>
        <w:ind w:left="0" w:right="49"/>
        <w:jc w:val="both"/>
        <w:rPr>
          <w:rFonts w:ascii="Palatino Linotype" w:eastAsia="Calibri" w:hAnsi="Palatino Linotype" w:cs="Arial"/>
          <w:sz w:val="24"/>
          <w:szCs w:val="24"/>
        </w:rPr>
      </w:pPr>
    </w:p>
    <w:p w:rsidR="00A43A7A" w:rsidRPr="008049C8" w:rsidRDefault="00480F5B" w:rsidP="00A43A7A">
      <w:pPr>
        <w:pStyle w:val="Prrafodelista"/>
        <w:numPr>
          <w:ilvl w:val="0"/>
          <w:numId w:val="1"/>
        </w:numPr>
        <w:spacing w:before="120" w:after="120" w:line="360" w:lineRule="auto"/>
        <w:ind w:left="0" w:right="49" w:firstLine="0"/>
        <w:jc w:val="both"/>
        <w:rPr>
          <w:rFonts w:ascii="Palatino Linotype" w:hAnsi="Palatino Linotype"/>
          <w:sz w:val="24"/>
          <w:szCs w:val="24"/>
        </w:rPr>
      </w:pPr>
      <w:r w:rsidRPr="00CE55B7">
        <w:rPr>
          <w:rFonts w:ascii="Palatino Linotype" w:eastAsia="Calibri" w:hAnsi="Palatino Linotype" w:cs="Arial"/>
          <w:sz w:val="24"/>
          <w:szCs w:val="24"/>
        </w:rPr>
        <w:t xml:space="preserve">Por lo que respecta al análisis que realizó el ponente </w:t>
      </w:r>
      <w:r w:rsidRPr="00CE55B7">
        <w:rPr>
          <w:rFonts w:ascii="Palatino Linotype" w:hAnsi="Palatino Linotype" w:cs="Arial"/>
          <w:sz w:val="24"/>
          <w:szCs w:val="24"/>
        </w:rPr>
        <w:t xml:space="preserve">se observó que el </w:t>
      </w:r>
      <w:r w:rsidRPr="00CE55B7">
        <w:rPr>
          <w:rFonts w:ascii="Palatino Linotype" w:hAnsi="Palatino Linotype" w:cs="Arial"/>
          <w:b/>
          <w:sz w:val="24"/>
          <w:szCs w:val="24"/>
        </w:rPr>
        <w:t xml:space="preserve">SUJETO OBLIGADO </w:t>
      </w:r>
      <w:r w:rsidRPr="00CE55B7">
        <w:rPr>
          <w:rFonts w:ascii="Palatino Linotype" w:hAnsi="Palatino Linotype" w:cs="Arial"/>
          <w:sz w:val="24"/>
          <w:szCs w:val="24"/>
        </w:rPr>
        <w:t>no colmó la solicitud de información por parte del solicitante, por lo que se</w:t>
      </w:r>
      <w:r w:rsidRPr="00CE55B7">
        <w:rPr>
          <w:rFonts w:ascii="Palatino Linotype" w:hAnsi="Palatino Linotype" w:cs="Arial"/>
          <w:b/>
          <w:sz w:val="24"/>
          <w:szCs w:val="24"/>
        </w:rPr>
        <w:t xml:space="preserve"> ORDENA</w:t>
      </w:r>
      <w:r w:rsidR="00D206BF">
        <w:rPr>
          <w:rFonts w:ascii="Palatino Linotype" w:hAnsi="Palatino Linotype" w:cs="Arial"/>
          <w:b/>
          <w:sz w:val="24"/>
          <w:szCs w:val="24"/>
        </w:rPr>
        <w:t xml:space="preserve"> a</w:t>
      </w:r>
      <w:r w:rsidR="00355ED5">
        <w:rPr>
          <w:rFonts w:ascii="Palatino Linotype" w:hAnsi="Palatino Linotype" w:cs="Arial"/>
          <w:b/>
          <w:sz w:val="24"/>
          <w:szCs w:val="24"/>
        </w:rPr>
        <w:t xml:space="preserve"> </w:t>
      </w:r>
      <w:r w:rsidR="00D206BF">
        <w:rPr>
          <w:rFonts w:ascii="Palatino Linotype" w:hAnsi="Palatino Linotype" w:cs="Arial"/>
          <w:b/>
          <w:sz w:val="24"/>
          <w:szCs w:val="24"/>
        </w:rPr>
        <w:t>l</w:t>
      </w:r>
      <w:r w:rsidR="00355ED5">
        <w:rPr>
          <w:rFonts w:ascii="Palatino Linotype" w:hAnsi="Palatino Linotype" w:cs="Arial"/>
          <w:b/>
          <w:sz w:val="24"/>
          <w:szCs w:val="24"/>
        </w:rPr>
        <w:t>a</w:t>
      </w:r>
      <w:r w:rsidR="00355ED5" w:rsidRPr="00355ED5">
        <w:rPr>
          <w:rFonts w:ascii="Palatino Linotype" w:hAnsi="Palatino Linotype" w:cs="Arial"/>
          <w:b/>
          <w:sz w:val="24"/>
          <w:szCs w:val="24"/>
        </w:rPr>
        <w:t xml:space="preserve"> </w:t>
      </w:r>
      <w:r w:rsidR="00355ED5" w:rsidRPr="001A62C6">
        <w:rPr>
          <w:rFonts w:ascii="Palatino Linotype" w:hAnsi="Palatino Linotype" w:cs="Arial"/>
          <w:b/>
          <w:sz w:val="24"/>
          <w:szCs w:val="24"/>
        </w:rPr>
        <w:t xml:space="preserve">Universidad Politécnica del Valle de </w:t>
      </w:r>
      <w:r w:rsidR="00355ED5" w:rsidRPr="001A62C6">
        <w:rPr>
          <w:rFonts w:ascii="Palatino Linotype" w:hAnsi="Palatino Linotype" w:cs="Arial"/>
          <w:b/>
          <w:sz w:val="24"/>
          <w:szCs w:val="24"/>
        </w:rPr>
        <w:lastRenderedPageBreak/>
        <w:t>Toluca</w:t>
      </w:r>
      <w:r w:rsidR="00D206BF" w:rsidRPr="00D206BF">
        <w:rPr>
          <w:rFonts w:ascii="Palatino Linotype" w:eastAsia="Calibri" w:hAnsi="Palatino Linotype" w:cs="Arial"/>
          <w:sz w:val="24"/>
          <w:szCs w:val="24"/>
        </w:rPr>
        <w:t>,</w:t>
      </w:r>
      <w:r w:rsidR="008049C8">
        <w:rPr>
          <w:rFonts w:ascii="Palatino Linotype" w:hAnsi="Palatino Linotype"/>
          <w:sz w:val="24"/>
          <w:szCs w:val="24"/>
        </w:rPr>
        <w:t xml:space="preserve"> </w:t>
      </w:r>
      <w:r w:rsidRPr="00CE55B7">
        <w:rPr>
          <w:rFonts w:ascii="Palatino Linotype" w:hAnsi="Palatino Linotype" w:cs="Arial"/>
          <w:sz w:val="24"/>
          <w:szCs w:val="24"/>
        </w:rPr>
        <w:t>haga entrega</w:t>
      </w:r>
      <w:r w:rsidR="006F081D">
        <w:rPr>
          <w:rFonts w:ascii="Palatino Linotype" w:hAnsi="Palatino Linotype" w:cs="Arial"/>
          <w:sz w:val="24"/>
          <w:szCs w:val="24"/>
        </w:rPr>
        <w:t xml:space="preserve"> al recurrente, </w:t>
      </w:r>
      <w:r w:rsidRPr="00CE55B7">
        <w:rPr>
          <w:rFonts w:ascii="Palatino Linotype" w:hAnsi="Palatino Linotype" w:cs="Arial"/>
          <w:sz w:val="24"/>
          <w:szCs w:val="24"/>
        </w:rPr>
        <w:t xml:space="preserve"> </w:t>
      </w:r>
      <w:r w:rsidR="006F081D">
        <w:rPr>
          <w:rFonts w:ascii="Palatino Linotype" w:hAnsi="Palatino Linotype" w:cs="Arial"/>
          <w:sz w:val="24"/>
          <w:lang w:eastAsia="es-MX"/>
        </w:rPr>
        <w:t xml:space="preserve">en versión pública, </w:t>
      </w:r>
      <w:r w:rsidR="00436541">
        <w:rPr>
          <w:rFonts w:ascii="Palatino Linotype" w:hAnsi="Palatino Linotype" w:cs="Arial"/>
          <w:sz w:val="24"/>
          <w:lang w:eastAsia="es-MX"/>
        </w:rPr>
        <w:t>a través</w:t>
      </w:r>
      <w:r w:rsidR="00C93875">
        <w:rPr>
          <w:rFonts w:ascii="Palatino Linotype" w:hAnsi="Palatino Linotype" w:cs="Arial"/>
          <w:sz w:val="24"/>
          <w:lang w:eastAsia="es-MX"/>
        </w:rPr>
        <w:t xml:space="preserve"> del </w:t>
      </w:r>
      <w:r w:rsidR="006F081D" w:rsidRPr="006F081D">
        <w:rPr>
          <w:rFonts w:ascii="Palatino Linotype" w:hAnsi="Palatino Linotype" w:cs="Arial"/>
          <w:b/>
          <w:sz w:val="24"/>
          <w:lang w:eastAsia="es-MX"/>
        </w:rPr>
        <w:t>SAIMEX</w:t>
      </w:r>
      <w:r w:rsidR="00930786">
        <w:rPr>
          <w:rFonts w:ascii="Palatino Linotype" w:hAnsi="Palatino Linotype" w:cs="Arial"/>
          <w:sz w:val="24"/>
          <w:lang w:eastAsia="es-MX"/>
        </w:rPr>
        <w:t xml:space="preserve">, </w:t>
      </w:r>
      <w:r w:rsidR="00436541">
        <w:rPr>
          <w:rFonts w:ascii="Palatino Linotype" w:hAnsi="Palatino Linotype" w:cs="Arial"/>
          <w:sz w:val="24"/>
          <w:lang w:eastAsia="es-MX"/>
        </w:rPr>
        <w:t xml:space="preserve"> de </w:t>
      </w:r>
      <w:r w:rsidR="006F081D">
        <w:rPr>
          <w:rFonts w:ascii="Palatino Linotype" w:hAnsi="Palatino Linotype" w:cs="Arial"/>
          <w:sz w:val="24"/>
          <w:lang w:eastAsia="es-MX"/>
        </w:rPr>
        <w:t>lo siguiente:</w:t>
      </w:r>
    </w:p>
    <w:p w:rsidR="008049C8" w:rsidRPr="003F2054" w:rsidRDefault="008049C8" w:rsidP="008049C8">
      <w:pPr>
        <w:pStyle w:val="Prrafodelista"/>
        <w:rPr>
          <w:rFonts w:ascii="Palatino Linotype" w:hAnsi="Palatino Linotype"/>
          <w:sz w:val="24"/>
          <w:szCs w:val="24"/>
        </w:rPr>
      </w:pPr>
    </w:p>
    <w:p w:rsidR="00870E92" w:rsidRPr="00870E92" w:rsidRDefault="00870E92" w:rsidP="00870E92">
      <w:pPr>
        <w:tabs>
          <w:tab w:val="left" w:pos="7371"/>
        </w:tabs>
        <w:spacing w:after="0" w:line="240" w:lineRule="auto"/>
        <w:ind w:left="851" w:right="899"/>
        <w:contextualSpacing/>
        <w:jc w:val="both"/>
        <w:rPr>
          <w:rFonts w:ascii="Palatino Linotype" w:eastAsia="Times New Roman" w:hAnsi="Palatino Linotype" w:cs="Arial"/>
          <w:i/>
          <w:color w:val="000000" w:themeColor="text1"/>
          <w:lang w:eastAsia="es-ES"/>
        </w:rPr>
      </w:pPr>
      <w:r w:rsidRPr="00870E92">
        <w:rPr>
          <w:rFonts w:ascii="Palatino Linotype" w:eastAsia="Times New Roman" w:hAnsi="Palatino Linotype" w:cs="Arial"/>
          <w:i/>
          <w:color w:val="000000" w:themeColor="text1"/>
          <w:lang w:eastAsia="es-ES"/>
        </w:rPr>
        <w:t>“a) Las cantidades adeudadas por concepto de sueldo al 7 de enero de 2019; y,</w:t>
      </w:r>
    </w:p>
    <w:p w:rsidR="00870E92" w:rsidRPr="00870E92" w:rsidRDefault="00870E92" w:rsidP="00870E92">
      <w:pPr>
        <w:tabs>
          <w:tab w:val="left" w:pos="7371"/>
        </w:tabs>
        <w:spacing w:after="0" w:line="240" w:lineRule="auto"/>
        <w:ind w:left="851" w:right="899"/>
        <w:contextualSpacing/>
        <w:jc w:val="both"/>
        <w:rPr>
          <w:rFonts w:ascii="Palatino Linotype" w:eastAsia="Times New Roman" w:hAnsi="Palatino Linotype" w:cs="Arial"/>
          <w:i/>
          <w:color w:val="000000" w:themeColor="text1"/>
          <w:sz w:val="16"/>
          <w:szCs w:val="16"/>
          <w:lang w:eastAsia="es-ES"/>
        </w:rPr>
      </w:pPr>
    </w:p>
    <w:p w:rsidR="00870E92" w:rsidRPr="00870E92" w:rsidRDefault="00870E92" w:rsidP="00870E92">
      <w:pPr>
        <w:tabs>
          <w:tab w:val="left" w:pos="7371"/>
        </w:tabs>
        <w:spacing w:after="0" w:line="240" w:lineRule="auto"/>
        <w:ind w:left="851" w:right="899"/>
        <w:contextualSpacing/>
        <w:jc w:val="both"/>
        <w:rPr>
          <w:rFonts w:ascii="Palatino Linotype" w:eastAsia="Times New Roman" w:hAnsi="Palatino Linotype" w:cs="Arial"/>
          <w:i/>
          <w:color w:val="000000" w:themeColor="text1"/>
          <w:lang w:eastAsia="es-ES"/>
        </w:rPr>
      </w:pPr>
      <w:r w:rsidRPr="00870E92">
        <w:rPr>
          <w:rFonts w:ascii="Palatino Linotype" w:eastAsia="Times New Roman" w:hAnsi="Palatino Linotype" w:cs="Arial"/>
          <w:i/>
          <w:color w:val="000000" w:themeColor="text1"/>
          <w:lang w:eastAsia="es-ES"/>
        </w:rPr>
        <w:t>b) Las promociones laborales de las cuales hubiera sido objeto de durante el periodo del 1 de enero al 31 de diciembre de 2018, así como los recibos de nómina de los cuales se pueda advertir las mismas.</w:t>
      </w:r>
    </w:p>
    <w:p w:rsidR="00870E92" w:rsidRPr="00870E92" w:rsidRDefault="00870E92" w:rsidP="00870E92">
      <w:pPr>
        <w:tabs>
          <w:tab w:val="left" w:pos="7371"/>
        </w:tabs>
        <w:spacing w:after="0" w:line="240" w:lineRule="auto"/>
        <w:ind w:left="851" w:right="899"/>
        <w:contextualSpacing/>
        <w:jc w:val="both"/>
        <w:rPr>
          <w:rFonts w:ascii="Palatino Linotype" w:eastAsia="Times New Roman" w:hAnsi="Palatino Linotype" w:cs="Arial"/>
          <w:i/>
          <w:color w:val="000000" w:themeColor="text1"/>
          <w:sz w:val="16"/>
          <w:szCs w:val="16"/>
          <w:lang w:eastAsia="es-ES"/>
        </w:rPr>
      </w:pPr>
    </w:p>
    <w:p w:rsidR="00870E92" w:rsidRPr="00870E92" w:rsidRDefault="00870E92" w:rsidP="00870E92">
      <w:pPr>
        <w:spacing w:after="0" w:line="240" w:lineRule="auto"/>
        <w:ind w:left="851" w:right="899"/>
        <w:contextualSpacing/>
        <w:jc w:val="both"/>
        <w:rPr>
          <w:rFonts w:ascii="Palatino Linotype" w:eastAsia="Times New Roman" w:hAnsi="Palatino Linotype" w:cs="Times New Roman"/>
          <w:i/>
          <w:lang w:eastAsia="es-ES"/>
        </w:rPr>
      </w:pPr>
      <w:r w:rsidRPr="00870E92">
        <w:rPr>
          <w:rFonts w:ascii="Palatino Linotype" w:eastAsia="Times New Roman" w:hAnsi="Palatino Linotype" w:cs="Times New Roman"/>
          <w:i/>
          <w:lang w:eastAsia="es-ES"/>
        </w:rPr>
        <w:t xml:space="preserve">Debiendo notificar a </w:t>
      </w:r>
      <w:r w:rsidRPr="00870E92">
        <w:rPr>
          <w:rFonts w:ascii="Palatino Linotype" w:eastAsia="Times New Roman" w:hAnsi="Palatino Linotype" w:cs="Times New Roman"/>
          <w:b/>
          <w:i/>
          <w:lang w:eastAsia="es-ES"/>
        </w:rPr>
        <w:t>LA RECURRENTE</w:t>
      </w:r>
      <w:r w:rsidRPr="00870E92">
        <w:rPr>
          <w:rFonts w:ascii="Palatino Linotype" w:eastAsia="Times New Roman" w:hAnsi="Palatino Linotype" w:cs="Times New Roman"/>
          <w:i/>
          <w:lang w:eastAsia="es-ES"/>
        </w:rPr>
        <w:t xml:space="preserve"> el Acuerdo de Clasificación de la información que emita en su caso el Comité de Transparencia con motivo de la versión pública.</w:t>
      </w:r>
    </w:p>
    <w:p w:rsidR="00870E92" w:rsidRPr="00870E92" w:rsidRDefault="00870E92" w:rsidP="00870E92">
      <w:pPr>
        <w:spacing w:after="0" w:line="240" w:lineRule="auto"/>
        <w:ind w:left="851" w:right="899"/>
        <w:jc w:val="both"/>
        <w:rPr>
          <w:rFonts w:ascii="Palatino Linotype" w:eastAsia="Times New Roman" w:hAnsi="Palatino Linotype" w:cs="Times New Roman"/>
          <w:i/>
          <w:sz w:val="16"/>
          <w:szCs w:val="16"/>
          <w:lang w:eastAsia="es-ES"/>
        </w:rPr>
      </w:pPr>
    </w:p>
    <w:p w:rsidR="00870E92" w:rsidRPr="00870E92" w:rsidRDefault="00870E92" w:rsidP="00870E92">
      <w:pPr>
        <w:spacing w:after="0" w:line="240" w:lineRule="auto"/>
        <w:ind w:left="851" w:right="899"/>
        <w:contextualSpacing/>
        <w:jc w:val="both"/>
        <w:rPr>
          <w:rFonts w:ascii="Palatino Linotype" w:eastAsia="Times New Roman" w:hAnsi="Palatino Linotype" w:cs="Times New Roman"/>
          <w:i/>
          <w:lang w:eastAsia="es-ES"/>
        </w:rPr>
      </w:pPr>
      <w:r w:rsidRPr="00870E92">
        <w:rPr>
          <w:rFonts w:ascii="Palatino Linotype" w:eastAsia="Times New Roman" w:hAnsi="Palatino Linotype" w:cs="Times New Roman"/>
          <w:i/>
          <w:lang w:eastAsia="es-ES"/>
        </w:rPr>
        <w:t xml:space="preserve">Para el caso que derivado de la búsqueda exhaustiva y razonable </w:t>
      </w:r>
      <w:r w:rsidRPr="00870E92">
        <w:rPr>
          <w:rFonts w:ascii="Palatino Linotype" w:eastAsia="Times New Roman" w:hAnsi="Palatino Linotype" w:cs="Times New Roman"/>
          <w:b/>
          <w:i/>
          <w:lang w:eastAsia="es-ES"/>
        </w:rPr>
        <w:t xml:space="preserve">EL SUJETO OBLIGADO </w:t>
      </w:r>
      <w:r w:rsidRPr="00870E92">
        <w:rPr>
          <w:rFonts w:ascii="Palatino Linotype" w:eastAsia="Times New Roman" w:hAnsi="Palatino Linotype" w:cs="Times New Roman"/>
          <w:i/>
          <w:lang w:eastAsia="es-ES"/>
        </w:rPr>
        <w:t xml:space="preserve">no localizara la información que se ordena, bastará con que lo haga del conocimiento de </w:t>
      </w:r>
      <w:r w:rsidRPr="00870E92">
        <w:rPr>
          <w:rFonts w:ascii="Palatino Linotype" w:eastAsia="Times New Roman" w:hAnsi="Palatino Linotype" w:cs="Times New Roman"/>
          <w:b/>
          <w:i/>
          <w:lang w:eastAsia="es-ES"/>
        </w:rPr>
        <w:t xml:space="preserve">LA RECURRENTE </w:t>
      </w:r>
      <w:r w:rsidRPr="00870E92">
        <w:rPr>
          <w:rFonts w:ascii="Palatino Linotype" w:eastAsia="Times New Roman" w:hAnsi="Palatino Linotype" w:cs="Times New Roman"/>
          <w:i/>
          <w:lang w:eastAsia="es-ES"/>
        </w:rPr>
        <w:t>al momento de dar cumplimiento a la presente resolución.”</w:t>
      </w:r>
    </w:p>
    <w:p w:rsidR="00E44859" w:rsidRDefault="00E44859" w:rsidP="00E44859">
      <w:pPr>
        <w:pStyle w:val="Prrafodelista"/>
        <w:spacing w:before="240" w:after="240" w:line="360" w:lineRule="auto"/>
        <w:ind w:left="0" w:right="49"/>
        <w:jc w:val="both"/>
        <w:rPr>
          <w:rFonts w:ascii="Palatino Linotype" w:eastAsia="Times New Roman" w:hAnsi="Palatino Linotype" w:cs="Arial"/>
          <w:sz w:val="24"/>
        </w:rPr>
      </w:pPr>
    </w:p>
    <w:p w:rsidR="00225470" w:rsidRDefault="003C0D78" w:rsidP="00225470">
      <w:pPr>
        <w:pStyle w:val="Prrafodelista"/>
        <w:numPr>
          <w:ilvl w:val="0"/>
          <w:numId w:val="1"/>
        </w:numPr>
        <w:spacing w:before="240" w:after="240" w:line="360" w:lineRule="auto"/>
        <w:ind w:left="0" w:right="49" w:firstLine="0"/>
        <w:jc w:val="both"/>
        <w:rPr>
          <w:rFonts w:ascii="Palatino Linotype" w:eastAsia="Times New Roman" w:hAnsi="Palatino Linotype" w:cs="Arial"/>
          <w:sz w:val="24"/>
        </w:rPr>
      </w:pPr>
      <w:r w:rsidRPr="00FE645C">
        <w:rPr>
          <w:rFonts w:ascii="Palatino Linotype" w:eastAsia="Times New Roman" w:hAnsi="Palatino Linotype" w:cs="Arial"/>
          <w:sz w:val="24"/>
        </w:rPr>
        <w:t>Sin embargo esta ponencia observó que la resolución puntualmente indica lo siguiente respecto a la información solicitada</w:t>
      </w:r>
      <w:r w:rsidR="008049C8">
        <w:rPr>
          <w:rFonts w:ascii="Palatino Linotype" w:eastAsia="Times New Roman" w:hAnsi="Palatino Linotype" w:cs="Arial"/>
          <w:sz w:val="24"/>
        </w:rPr>
        <w:t xml:space="preserve">:  </w:t>
      </w:r>
    </w:p>
    <w:p w:rsidR="003F2054" w:rsidRDefault="003F2054" w:rsidP="003F2054">
      <w:pPr>
        <w:pStyle w:val="Prrafodelista"/>
        <w:spacing w:before="240" w:after="240" w:line="360" w:lineRule="auto"/>
        <w:ind w:left="0" w:right="49"/>
        <w:jc w:val="both"/>
        <w:rPr>
          <w:rFonts w:ascii="Palatino Linotype" w:eastAsia="Times New Roman" w:hAnsi="Palatino Linotype" w:cs="Arial"/>
          <w:sz w:val="24"/>
        </w:rPr>
      </w:pPr>
    </w:p>
    <w:p w:rsidR="00870E92" w:rsidRPr="00870E92" w:rsidRDefault="00870E92" w:rsidP="006B704C">
      <w:pPr>
        <w:spacing w:after="0" w:line="360" w:lineRule="auto"/>
        <w:ind w:left="851" w:right="899"/>
        <w:contextualSpacing/>
        <w:jc w:val="both"/>
        <w:rPr>
          <w:rFonts w:ascii="Palatino Linotype" w:eastAsia="Times New Roman" w:hAnsi="Palatino Linotype" w:cs="Times New Roman"/>
          <w:lang w:eastAsia="es-ES"/>
        </w:rPr>
      </w:pPr>
      <w:r w:rsidRPr="00870E92">
        <w:rPr>
          <w:rFonts w:ascii="Palatino Linotype" w:eastAsia="Times New Roman" w:hAnsi="Palatino Linotype" w:cs="Times New Roman"/>
          <w:lang w:eastAsia="es-ES"/>
        </w:rPr>
        <w:t xml:space="preserve">Para el caso que derivado de la búsqueda exhaustiva y razonable </w:t>
      </w:r>
      <w:r w:rsidRPr="00870E92">
        <w:rPr>
          <w:rFonts w:ascii="Palatino Linotype" w:eastAsia="Times New Roman" w:hAnsi="Palatino Linotype" w:cs="Times New Roman"/>
          <w:b/>
          <w:lang w:eastAsia="es-ES"/>
        </w:rPr>
        <w:t xml:space="preserve">EL SUJETO OBLIGADO </w:t>
      </w:r>
      <w:r w:rsidRPr="00870E92">
        <w:rPr>
          <w:rFonts w:ascii="Palatino Linotype" w:eastAsia="Times New Roman" w:hAnsi="Palatino Linotype" w:cs="Times New Roman"/>
          <w:lang w:eastAsia="es-ES"/>
        </w:rPr>
        <w:t xml:space="preserve">no localizara la información que se ordena, bastará con que lo haga del conocimiento de </w:t>
      </w:r>
      <w:r w:rsidRPr="00870E92">
        <w:rPr>
          <w:rFonts w:ascii="Palatino Linotype" w:eastAsia="Times New Roman" w:hAnsi="Palatino Linotype" w:cs="Times New Roman"/>
          <w:b/>
          <w:lang w:eastAsia="es-ES"/>
        </w:rPr>
        <w:t xml:space="preserve">LA RECURRENTE </w:t>
      </w:r>
      <w:r w:rsidRPr="00870E92">
        <w:rPr>
          <w:rFonts w:ascii="Palatino Linotype" w:eastAsia="Times New Roman" w:hAnsi="Palatino Linotype" w:cs="Times New Roman"/>
          <w:lang w:eastAsia="es-ES"/>
        </w:rPr>
        <w:t>al momento de dar cumplimiento a la presente resolución.”</w:t>
      </w:r>
    </w:p>
    <w:p w:rsidR="00AD1BFD" w:rsidRPr="00870E92" w:rsidRDefault="00AD1BFD" w:rsidP="006B704C">
      <w:pPr>
        <w:pStyle w:val="Prrafodelista"/>
        <w:spacing w:before="240" w:after="240" w:line="360" w:lineRule="auto"/>
        <w:ind w:left="0" w:right="49"/>
        <w:jc w:val="both"/>
        <w:rPr>
          <w:rFonts w:ascii="Palatino Linotype" w:eastAsia="Times New Roman" w:hAnsi="Palatino Linotype" w:cs="Arial"/>
          <w:sz w:val="24"/>
        </w:rPr>
      </w:pPr>
    </w:p>
    <w:p w:rsidR="00821BFF" w:rsidRPr="003D42E2" w:rsidRDefault="00594E5C" w:rsidP="00821BFF">
      <w:pPr>
        <w:pStyle w:val="Prrafodelista"/>
        <w:numPr>
          <w:ilvl w:val="0"/>
          <w:numId w:val="1"/>
        </w:numPr>
        <w:spacing w:before="240" w:after="240" w:line="360" w:lineRule="auto"/>
        <w:ind w:left="0" w:right="49" w:firstLine="0"/>
        <w:jc w:val="both"/>
        <w:rPr>
          <w:rFonts w:ascii="Palatino Linotype" w:eastAsia="Times New Roman" w:hAnsi="Palatino Linotype" w:cs="Arial"/>
          <w:i/>
          <w:sz w:val="24"/>
        </w:rPr>
      </w:pPr>
      <w:r>
        <w:rPr>
          <w:rFonts w:ascii="Palatino Linotype" w:eastAsia="Times New Roman" w:hAnsi="Palatino Linotype" w:cs="Arial"/>
          <w:sz w:val="24"/>
        </w:rPr>
        <w:lastRenderedPageBreak/>
        <w:t xml:space="preserve">Por esa razón, el ponente se </w:t>
      </w:r>
      <w:r w:rsidR="00C602B8">
        <w:rPr>
          <w:rFonts w:ascii="Palatino Linotype" w:eastAsia="Times New Roman" w:hAnsi="Palatino Linotype" w:cs="Arial"/>
          <w:sz w:val="24"/>
        </w:rPr>
        <w:t>manifestó al</w:t>
      </w:r>
      <w:r>
        <w:rPr>
          <w:rFonts w:ascii="Palatino Linotype" w:eastAsia="Times New Roman" w:hAnsi="Palatino Linotype" w:cs="Arial"/>
          <w:sz w:val="24"/>
        </w:rPr>
        <w:t xml:space="preserve"> respecto enfatizando que en </w:t>
      </w:r>
      <w:r w:rsidR="008216B4" w:rsidRPr="008216B4">
        <w:rPr>
          <w:rFonts w:ascii="Palatino Linotype" w:eastAsia="Times New Roman" w:hAnsi="Palatino Linotype" w:cs="Arial"/>
          <w:sz w:val="24"/>
        </w:rPr>
        <w:t xml:space="preserve">el caso de que el </w:t>
      </w:r>
      <w:r w:rsidR="008216B4" w:rsidRPr="008216B4">
        <w:rPr>
          <w:rFonts w:ascii="Palatino Linotype" w:eastAsia="Times New Roman" w:hAnsi="Palatino Linotype" w:cs="Arial"/>
          <w:b/>
          <w:sz w:val="24"/>
        </w:rPr>
        <w:t xml:space="preserve">SUJETO OBLIGADO </w:t>
      </w:r>
      <w:r w:rsidR="008216B4" w:rsidRPr="008216B4">
        <w:rPr>
          <w:rFonts w:ascii="Palatino Linotype" w:eastAsia="Times New Roman" w:hAnsi="Palatino Linotype" w:cs="Arial"/>
          <w:sz w:val="24"/>
        </w:rPr>
        <w:t>no cuente con la información</w:t>
      </w:r>
      <w:r>
        <w:rPr>
          <w:rFonts w:ascii="Palatino Linotype" w:eastAsia="Times New Roman" w:hAnsi="Palatino Linotype" w:cs="Arial"/>
          <w:sz w:val="24"/>
        </w:rPr>
        <w:t>,</w:t>
      </w:r>
      <w:r w:rsidR="008216B4" w:rsidRPr="008216B4">
        <w:rPr>
          <w:rFonts w:ascii="Palatino Linotype" w:eastAsia="Times New Roman" w:hAnsi="Palatino Linotype" w:cs="Arial"/>
          <w:sz w:val="24"/>
        </w:rPr>
        <w:t xml:space="preserve"> bastará c</w:t>
      </w:r>
      <w:r w:rsidR="008216B4">
        <w:rPr>
          <w:rFonts w:ascii="Palatino Linotype" w:eastAsia="Times New Roman" w:hAnsi="Palatino Linotype" w:cs="Arial"/>
          <w:sz w:val="24"/>
        </w:rPr>
        <w:t>on que se pronuncie</w:t>
      </w:r>
      <w:r w:rsidR="008216B4" w:rsidRPr="008216B4">
        <w:rPr>
          <w:rFonts w:ascii="Palatino Linotype" w:eastAsia="Times New Roman" w:hAnsi="Palatino Linotype" w:cs="Arial"/>
          <w:sz w:val="24"/>
        </w:rPr>
        <w:t xml:space="preserve"> al respecto </w:t>
      </w:r>
      <w:r w:rsidR="008216B4">
        <w:rPr>
          <w:rFonts w:ascii="Palatino Linotype" w:eastAsia="Times New Roman" w:hAnsi="Palatino Linotype" w:cs="Arial"/>
          <w:sz w:val="24"/>
        </w:rPr>
        <w:t>y lo haga del conocimiento del particular.</w:t>
      </w:r>
    </w:p>
    <w:p w:rsidR="00E6179D" w:rsidRPr="00427B79" w:rsidRDefault="00E6179D" w:rsidP="000921E9">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 xml:space="preserve">Por tal motivo el </w:t>
      </w:r>
      <w:r w:rsidR="00427B79" w:rsidRPr="00427B79">
        <w:rPr>
          <w:rFonts w:ascii="Palatino Linotype" w:eastAsia="Calibri" w:hAnsi="Palatino Linotype" w:cs="Arial"/>
          <w:b/>
          <w:sz w:val="24"/>
          <w:szCs w:val="24"/>
        </w:rPr>
        <w:t>SUJETO OBLIGADO</w:t>
      </w:r>
      <w:r w:rsidR="00427B79" w:rsidRPr="00427B79">
        <w:rPr>
          <w:rFonts w:ascii="Palatino Linotype" w:eastAsia="Calibri" w:hAnsi="Palatino Linotype" w:cs="Arial"/>
          <w:sz w:val="24"/>
          <w:szCs w:val="24"/>
        </w:rPr>
        <w:t xml:space="preserve"> </w:t>
      </w:r>
      <w:r w:rsidRPr="00427B79">
        <w:rPr>
          <w:rFonts w:ascii="Palatino Linotype" w:eastAsia="Calibri" w:hAnsi="Palatino Linotype" w:cs="Arial"/>
          <w:sz w:val="24"/>
          <w:szCs w:val="24"/>
        </w:rPr>
        <w:t>en cuestión debe de demostrar q</w:t>
      </w:r>
      <w:r w:rsidR="009D3902">
        <w:rPr>
          <w:rFonts w:ascii="Palatino Linotype" w:eastAsia="Calibri" w:hAnsi="Palatino Linotype" w:cs="Arial"/>
          <w:sz w:val="24"/>
          <w:szCs w:val="24"/>
        </w:rPr>
        <w:t>ue no genera, posee o administra</w:t>
      </w:r>
      <w:r w:rsidRPr="00427B79">
        <w:rPr>
          <w:rFonts w:ascii="Palatino Linotype" w:eastAsia="Calibri" w:hAnsi="Palatino Linotype" w:cs="Arial"/>
          <w:sz w:val="24"/>
          <w:szCs w:val="24"/>
        </w:rPr>
        <w:t xml:space="preserve"> la informa</w:t>
      </w:r>
      <w:r w:rsidR="008216B4">
        <w:rPr>
          <w:rFonts w:ascii="Palatino Linotype" w:eastAsia="Calibri" w:hAnsi="Palatino Linotype" w:cs="Arial"/>
          <w:sz w:val="24"/>
          <w:szCs w:val="24"/>
        </w:rPr>
        <w:t>ción que requiere el particular, debiendo motivar su respuesta en función de las causas que</w:t>
      </w:r>
      <w:r w:rsidR="00C602B8">
        <w:rPr>
          <w:rFonts w:ascii="Palatino Linotype" w:eastAsia="Calibri" w:hAnsi="Palatino Linotype" w:cs="Arial"/>
          <w:sz w:val="24"/>
          <w:szCs w:val="24"/>
        </w:rPr>
        <w:t xml:space="preserve"> hayan generado</w:t>
      </w:r>
      <w:r w:rsidR="008216B4">
        <w:rPr>
          <w:rFonts w:ascii="Palatino Linotype" w:eastAsia="Calibri" w:hAnsi="Palatino Linotype" w:cs="Arial"/>
          <w:sz w:val="24"/>
          <w:szCs w:val="24"/>
        </w:rPr>
        <w:t xml:space="preserve"> tales circunstancias. </w:t>
      </w:r>
    </w:p>
    <w:p w:rsidR="00680533" w:rsidRPr="00427B79" w:rsidRDefault="00680533" w:rsidP="00680533">
      <w:pPr>
        <w:spacing w:after="0" w:line="360" w:lineRule="auto"/>
        <w:contextualSpacing/>
        <w:jc w:val="both"/>
        <w:rPr>
          <w:rFonts w:ascii="Palatino Linotype" w:eastAsia="Calibri" w:hAnsi="Palatino Linotype" w:cs="Arial"/>
          <w:sz w:val="24"/>
          <w:szCs w:val="24"/>
        </w:rPr>
      </w:pPr>
    </w:p>
    <w:p w:rsidR="0003648B" w:rsidRPr="00427B79" w:rsidRDefault="0003648B" w:rsidP="0003648B">
      <w:pPr>
        <w:pStyle w:val="Ttulo2"/>
        <w:rPr>
          <w:b/>
          <w:szCs w:val="24"/>
        </w:rPr>
      </w:pPr>
      <w:bookmarkStart w:id="3" w:name="_Toc469919070"/>
      <w:bookmarkStart w:id="4" w:name="_Toc7187818"/>
      <w:r w:rsidRPr="00427B79">
        <w:rPr>
          <w:b/>
          <w:szCs w:val="24"/>
        </w:rPr>
        <w:t>II</w:t>
      </w:r>
      <w:r w:rsidR="00680533" w:rsidRPr="00427B79">
        <w:rPr>
          <w:b/>
          <w:szCs w:val="24"/>
        </w:rPr>
        <w:t>I</w:t>
      </w:r>
      <w:r w:rsidRPr="00427B79">
        <w:rPr>
          <w:b/>
          <w:szCs w:val="24"/>
        </w:rPr>
        <w:t>. Del Derecho de Acceso a la información pública y el deber de motivar.</w:t>
      </w:r>
      <w:bookmarkEnd w:id="3"/>
      <w:bookmarkEnd w:id="4"/>
    </w:p>
    <w:p w:rsidR="0003648B" w:rsidRPr="00427B79" w:rsidRDefault="0003648B" w:rsidP="0003648B">
      <w:pPr>
        <w:pStyle w:val="Prrafodelista"/>
        <w:spacing w:line="360" w:lineRule="auto"/>
        <w:ind w:left="0"/>
        <w:jc w:val="both"/>
        <w:rPr>
          <w:rFonts w:ascii="Palatino Linotype" w:hAnsi="Palatino Linotype" w:cs="Arial"/>
          <w:sz w:val="24"/>
          <w:szCs w:val="24"/>
        </w:rPr>
      </w:pPr>
    </w:p>
    <w:p w:rsidR="0003648B" w:rsidRPr="00427B79" w:rsidRDefault="0003648B" w:rsidP="000921E9">
      <w:pPr>
        <w:pStyle w:val="Prrafodelista"/>
        <w:numPr>
          <w:ilvl w:val="0"/>
          <w:numId w:val="1"/>
        </w:numPr>
        <w:spacing w:after="0" w:line="360" w:lineRule="auto"/>
        <w:ind w:left="0" w:firstLine="0"/>
        <w:jc w:val="both"/>
        <w:rPr>
          <w:rFonts w:ascii="Palatino Linotype" w:hAnsi="Palatino Linotype" w:cs="Arial"/>
          <w:sz w:val="24"/>
          <w:szCs w:val="24"/>
        </w:rPr>
      </w:pPr>
      <w:r w:rsidRPr="00427B79">
        <w:rPr>
          <w:rFonts w:ascii="Palatino Linotype" w:eastAsia="Times New Roman" w:hAnsi="Palatino Linotype" w:cs="Arial"/>
          <w:sz w:val="24"/>
          <w:szCs w:val="24"/>
        </w:rPr>
        <w:t xml:space="preserve">Resulta necesario establecer que el derecho de acceso a la información pública es un derecho fundamental reconocido a todas las personas en el artículo 6 de la </w:t>
      </w:r>
      <w:r w:rsidRPr="00427B79">
        <w:rPr>
          <w:rFonts w:ascii="Palatino Linotype" w:eastAsia="Times New Roman" w:hAnsi="Palatino Linotype" w:cs="Arial"/>
          <w:b/>
          <w:sz w:val="24"/>
          <w:szCs w:val="24"/>
        </w:rPr>
        <w:t>Constitución Política de los Estados Unidos Mexicanos</w:t>
      </w:r>
      <w:r w:rsidRPr="00427B79">
        <w:rPr>
          <w:rFonts w:ascii="Palatino Linotype" w:eastAsia="Times New Roman" w:hAnsi="Palatino Linotype" w:cs="Arial"/>
          <w:sz w:val="24"/>
          <w:szCs w:val="24"/>
        </w:rPr>
        <w:t xml:space="preserve">, 13 párrafos 1 y 2 del </w:t>
      </w:r>
      <w:r w:rsidRPr="00427B79">
        <w:rPr>
          <w:rFonts w:ascii="Palatino Linotype" w:eastAsia="Times New Roman" w:hAnsi="Palatino Linotype" w:cs="Arial"/>
          <w:b/>
          <w:sz w:val="24"/>
          <w:szCs w:val="24"/>
        </w:rPr>
        <w:t>Pacto de San José de Costa Rica</w:t>
      </w:r>
      <w:r w:rsidRPr="00427B79">
        <w:rPr>
          <w:rFonts w:ascii="Palatino Linotype" w:eastAsia="Times New Roman" w:hAnsi="Palatino Linotype" w:cs="Arial"/>
          <w:sz w:val="24"/>
          <w:szCs w:val="24"/>
        </w:rPr>
        <w:t xml:space="preserve">, </w:t>
      </w:r>
      <w:r w:rsidRPr="00427B79">
        <w:rPr>
          <w:rFonts w:ascii="Palatino Linotype" w:hAnsi="Palatino Linotype" w:cs="Arial"/>
          <w:sz w:val="24"/>
          <w:szCs w:val="24"/>
        </w:rPr>
        <w:t xml:space="preserve">11, 12, 13 de la </w:t>
      </w:r>
      <w:r w:rsidRPr="00427B79">
        <w:rPr>
          <w:rFonts w:ascii="Palatino Linotype" w:hAnsi="Palatino Linotype"/>
          <w:b/>
          <w:sz w:val="24"/>
          <w:szCs w:val="24"/>
        </w:rPr>
        <w:t>Ley General de Transparencia y Acceso a la Información Pública</w:t>
      </w:r>
      <w:r w:rsidRPr="00427B79">
        <w:rPr>
          <w:rFonts w:ascii="Palatino Linotype" w:eastAsia="Times New Roman" w:hAnsi="Palatino Linotype" w:cs="Arial"/>
          <w:sz w:val="24"/>
          <w:szCs w:val="24"/>
        </w:rPr>
        <w:t xml:space="preserve"> y 5 de la </w:t>
      </w:r>
      <w:r w:rsidRPr="00427B79">
        <w:rPr>
          <w:rFonts w:ascii="Palatino Linotype" w:eastAsia="Times New Roman" w:hAnsi="Palatino Linotype" w:cs="Arial"/>
          <w:b/>
          <w:sz w:val="24"/>
          <w:szCs w:val="24"/>
        </w:rPr>
        <w:t>Constitución Política del Estado Libre y Soberano de México</w:t>
      </w:r>
      <w:r w:rsidRPr="00427B79">
        <w:rPr>
          <w:rFonts w:ascii="Palatino Linotype" w:eastAsia="Times New Roman" w:hAnsi="Palatino Linotype" w:cs="Arial"/>
          <w:sz w:val="24"/>
          <w:szCs w:val="24"/>
        </w:rPr>
        <w:t>; y</w:t>
      </w:r>
      <w:r w:rsidRPr="00427B79">
        <w:rPr>
          <w:rFonts w:ascii="Palatino Linotype" w:eastAsia="Times New Roman" w:hAnsi="Palatino Linotype" w:cs="Arial"/>
          <w:b/>
          <w:sz w:val="24"/>
          <w:szCs w:val="24"/>
        </w:rPr>
        <w:t xml:space="preserve">, </w:t>
      </w:r>
      <w:r w:rsidRPr="00427B79">
        <w:rPr>
          <w:rFonts w:ascii="Palatino Linotype" w:eastAsia="Times New Roman" w:hAnsi="Palatino Linotype" w:cs="Arial"/>
          <w:sz w:val="24"/>
          <w:szCs w:val="24"/>
        </w:rPr>
        <w:t xml:space="preserve">razón por la cual todos los órganos del </w:t>
      </w:r>
      <w:r w:rsidRPr="00427B79">
        <w:rPr>
          <w:rFonts w:ascii="Palatino Linotype" w:eastAsia="Times New Roman" w:hAnsi="Palatino Linotype" w:cs="Arial"/>
          <w:b/>
          <w:sz w:val="24"/>
          <w:szCs w:val="24"/>
        </w:rPr>
        <w:t>Estado</w:t>
      </w:r>
      <w:r w:rsidRPr="00427B79">
        <w:rPr>
          <w:rFonts w:ascii="Palatino Linotype" w:eastAsia="Times New Roman" w:hAnsi="Palatino Linotype" w:cs="Arial"/>
          <w:sz w:val="24"/>
          <w:szCs w:val="24"/>
        </w:rPr>
        <w:t xml:space="preserve"> están obligados no sólo a reconocerlo sino aún más, a salvaguardarlo y en caso de contravención, a este Instituto le corresponde restituirlo.</w:t>
      </w:r>
    </w:p>
    <w:p w:rsidR="0003648B" w:rsidRPr="00427B79" w:rsidRDefault="0003648B" w:rsidP="0003648B">
      <w:pPr>
        <w:pStyle w:val="Prrafodelista"/>
        <w:spacing w:after="0" w:line="360" w:lineRule="auto"/>
        <w:ind w:left="0"/>
        <w:jc w:val="both"/>
        <w:rPr>
          <w:rFonts w:ascii="Palatino Linotype" w:hAnsi="Palatino Linotype" w:cs="Arial"/>
          <w:sz w:val="24"/>
          <w:szCs w:val="24"/>
        </w:rPr>
      </w:pPr>
    </w:p>
    <w:p w:rsidR="0003648B" w:rsidRPr="00427B79" w:rsidRDefault="0003648B" w:rsidP="000921E9">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cs="Arial"/>
          <w:bCs/>
          <w:color w:val="000000" w:themeColor="text1"/>
          <w:sz w:val="24"/>
          <w:szCs w:val="24"/>
        </w:rPr>
        <w:t>En efecto, el derecho fundamental de acceso a la información pública se desarrolla en varias vertientes:</w:t>
      </w:r>
    </w:p>
    <w:p w:rsidR="0003648B" w:rsidRPr="00427B79" w:rsidRDefault="0003648B" w:rsidP="0003648B">
      <w:pPr>
        <w:pStyle w:val="Prrafodelista"/>
        <w:spacing w:before="240" w:after="240" w:line="360" w:lineRule="auto"/>
        <w:ind w:left="851"/>
        <w:jc w:val="both"/>
        <w:rPr>
          <w:rFonts w:ascii="Palatino Linotype" w:hAnsi="Palatino Linotype" w:cs="Arial"/>
          <w:sz w:val="24"/>
          <w:szCs w:val="24"/>
        </w:rPr>
      </w:pPr>
    </w:p>
    <w:p w:rsidR="0003648B" w:rsidRPr="00427B79" w:rsidRDefault="0003648B" w:rsidP="00B41044">
      <w:pPr>
        <w:pStyle w:val="Prrafodelista"/>
        <w:numPr>
          <w:ilvl w:val="0"/>
          <w:numId w:val="3"/>
        </w:numPr>
        <w:autoSpaceDE w:val="0"/>
        <w:autoSpaceDN w:val="0"/>
        <w:adjustRightInd w:val="0"/>
        <w:spacing w:before="240" w:after="240" w:line="360" w:lineRule="auto"/>
        <w:ind w:left="567" w:right="616" w:firstLine="0"/>
        <w:jc w:val="both"/>
        <w:rPr>
          <w:rFonts w:ascii="Palatino Linotype" w:hAnsi="Palatino Linotype" w:cs="Arial"/>
          <w:bCs/>
          <w:color w:val="000000" w:themeColor="text1"/>
          <w:sz w:val="24"/>
          <w:szCs w:val="24"/>
        </w:rPr>
      </w:pPr>
      <w:r w:rsidRPr="00427B79">
        <w:rPr>
          <w:rFonts w:ascii="Palatino Linotype" w:hAnsi="Palatino Linotype" w:cs="Arial"/>
          <w:bCs/>
          <w:color w:val="000000" w:themeColor="text1"/>
          <w:sz w:val="24"/>
          <w:szCs w:val="24"/>
        </w:rPr>
        <w:lastRenderedPageBreak/>
        <w:t>Impone al Estado la obligación de protegerlo. Esto es, es suficiente con que una persona realice una solicitud de información para que la autoridad la atienda y entregue lo solicitado, salvo excepciones limitadas.</w:t>
      </w:r>
    </w:p>
    <w:p w:rsidR="0003648B" w:rsidRPr="00427B79" w:rsidRDefault="0003648B" w:rsidP="00B41044">
      <w:pPr>
        <w:pStyle w:val="Prrafodelista"/>
        <w:numPr>
          <w:ilvl w:val="0"/>
          <w:numId w:val="3"/>
        </w:numPr>
        <w:autoSpaceDE w:val="0"/>
        <w:autoSpaceDN w:val="0"/>
        <w:adjustRightInd w:val="0"/>
        <w:spacing w:before="240" w:after="240" w:line="360" w:lineRule="auto"/>
        <w:ind w:left="567" w:right="616" w:firstLine="0"/>
        <w:jc w:val="both"/>
        <w:rPr>
          <w:rFonts w:ascii="Palatino Linotype" w:hAnsi="Palatino Linotype" w:cs="Arial"/>
          <w:bCs/>
          <w:color w:val="000000" w:themeColor="text1"/>
          <w:sz w:val="24"/>
          <w:szCs w:val="24"/>
        </w:rPr>
      </w:pPr>
      <w:r w:rsidRPr="00427B79">
        <w:rPr>
          <w:rFonts w:ascii="Palatino Linotype" w:hAnsi="Palatino Linotype" w:cs="Arial"/>
          <w:bCs/>
          <w:color w:val="000000" w:themeColor="text1"/>
          <w:sz w:val="24"/>
          <w:szCs w:val="24"/>
        </w:rPr>
        <w:t>Impone la obligación a todos los organismos de transparentar sus acciones como una forma cotidiana de actuar; de garantizar el acceso a la información pública a través de tener disponible en cualquier momento la información sin necesidad de que medie una solicitud del particular.</w:t>
      </w:r>
    </w:p>
    <w:p w:rsidR="0003648B" w:rsidRPr="00427B79" w:rsidRDefault="0003648B" w:rsidP="00B41044">
      <w:pPr>
        <w:pStyle w:val="Prrafodelista"/>
        <w:numPr>
          <w:ilvl w:val="0"/>
          <w:numId w:val="3"/>
        </w:numPr>
        <w:autoSpaceDE w:val="0"/>
        <w:autoSpaceDN w:val="0"/>
        <w:adjustRightInd w:val="0"/>
        <w:spacing w:before="240" w:after="240" w:line="360" w:lineRule="auto"/>
        <w:ind w:left="567" w:right="616" w:firstLine="0"/>
        <w:jc w:val="both"/>
        <w:rPr>
          <w:rFonts w:ascii="Palatino Linotype" w:hAnsi="Palatino Linotype" w:cs="Arial"/>
          <w:bCs/>
          <w:color w:val="000000" w:themeColor="text1"/>
          <w:sz w:val="24"/>
          <w:szCs w:val="24"/>
        </w:rPr>
      </w:pPr>
      <w:r w:rsidRPr="00427B79">
        <w:rPr>
          <w:rFonts w:ascii="Palatino Linotype" w:hAnsi="Palatino Linotype" w:cs="Arial"/>
          <w:bCs/>
          <w:color w:val="000000" w:themeColor="text1"/>
          <w:sz w:val="24"/>
          <w:szCs w:val="24"/>
        </w:rPr>
        <w:t>Otorga a todos los documentos en posesión de las autoridades la calidad de públicos y únicamente pueden ser reservados temporalmente por razones de interés público y en los términos expresamente señalados en la ley.</w:t>
      </w:r>
    </w:p>
    <w:p w:rsidR="0003648B" w:rsidRPr="00427B79" w:rsidRDefault="0003648B" w:rsidP="00B41044">
      <w:pPr>
        <w:pStyle w:val="Prrafodelista"/>
        <w:numPr>
          <w:ilvl w:val="0"/>
          <w:numId w:val="3"/>
        </w:numPr>
        <w:autoSpaceDE w:val="0"/>
        <w:autoSpaceDN w:val="0"/>
        <w:adjustRightInd w:val="0"/>
        <w:spacing w:before="240" w:after="240" w:line="360" w:lineRule="auto"/>
        <w:ind w:left="567" w:right="616" w:firstLine="0"/>
        <w:jc w:val="both"/>
        <w:rPr>
          <w:rFonts w:ascii="Palatino Linotype" w:hAnsi="Palatino Linotype" w:cs="Arial"/>
          <w:bCs/>
          <w:color w:val="000000" w:themeColor="text1"/>
          <w:sz w:val="24"/>
          <w:szCs w:val="24"/>
        </w:rPr>
      </w:pPr>
      <w:r w:rsidRPr="00427B79">
        <w:rPr>
          <w:rFonts w:ascii="Palatino Linotype" w:hAnsi="Palatino Linotype" w:cs="Arial"/>
          <w:bCs/>
          <w:color w:val="000000" w:themeColor="text1"/>
          <w:sz w:val="24"/>
          <w:szCs w:val="24"/>
        </w:rPr>
        <w:t>Este derecho se rige por el principio de máxima publicidad, es decir, la información que generan, administren o posean los organismos públicos son documentos de acceso a cualquier persona y para su restricción debe existir un bien jurídico mayor que proteger.</w:t>
      </w:r>
    </w:p>
    <w:p w:rsidR="0003648B" w:rsidRPr="00427B79" w:rsidRDefault="0003648B" w:rsidP="00B41044">
      <w:pPr>
        <w:pStyle w:val="Prrafodelista"/>
        <w:numPr>
          <w:ilvl w:val="0"/>
          <w:numId w:val="3"/>
        </w:numPr>
        <w:autoSpaceDE w:val="0"/>
        <w:autoSpaceDN w:val="0"/>
        <w:adjustRightInd w:val="0"/>
        <w:spacing w:before="240" w:after="240" w:line="360" w:lineRule="auto"/>
        <w:ind w:left="567" w:right="616" w:firstLine="0"/>
        <w:jc w:val="both"/>
        <w:rPr>
          <w:rFonts w:ascii="Palatino Linotype" w:hAnsi="Palatino Linotype" w:cs="Arial"/>
          <w:bCs/>
          <w:color w:val="000000" w:themeColor="text1"/>
          <w:sz w:val="24"/>
          <w:szCs w:val="24"/>
        </w:rPr>
      </w:pPr>
      <w:r w:rsidRPr="00427B79">
        <w:rPr>
          <w:rFonts w:ascii="Palatino Linotype" w:hAnsi="Palatino Linotype" w:cs="Arial"/>
          <w:bCs/>
          <w:color w:val="000000" w:themeColor="text1"/>
          <w:sz w:val="24"/>
          <w:szCs w:val="24"/>
        </w:rPr>
        <w:t>Impone al Legislativo la obligación de crear una ley que establezca los procedimientos para su protección, respeto y difusión.</w:t>
      </w:r>
    </w:p>
    <w:p w:rsidR="0003648B" w:rsidRPr="00427B79" w:rsidRDefault="0003648B" w:rsidP="00B41044">
      <w:pPr>
        <w:pStyle w:val="Prrafodelista"/>
        <w:numPr>
          <w:ilvl w:val="0"/>
          <w:numId w:val="3"/>
        </w:numPr>
        <w:autoSpaceDE w:val="0"/>
        <w:autoSpaceDN w:val="0"/>
        <w:adjustRightInd w:val="0"/>
        <w:spacing w:before="240" w:after="240" w:line="360" w:lineRule="auto"/>
        <w:ind w:left="567" w:right="616" w:firstLine="0"/>
        <w:jc w:val="both"/>
        <w:rPr>
          <w:rFonts w:ascii="Palatino Linotype" w:hAnsi="Palatino Linotype" w:cs="Arial"/>
          <w:bCs/>
          <w:color w:val="000000" w:themeColor="text1"/>
          <w:sz w:val="24"/>
          <w:szCs w:val="24"/>
        </w:rPr>
      </w:pPr>
      <w:r w:rsidRPr="00427B79">
        <w:rPr>
          <w:rFonts w:ascii="Palatino Linotype" w:hAnsi="Palatino Linotype" w:cs="Arial"/>
          <w:bCs/>
          <w:color w:val="000000" w:themeColor="text1"/>
          <w:sz w:val="24"/>
          <w:szCs w:val="24"/>
        </w:rPr>
        <w:t>Impone el</w:t>
      </w:r>
      <w:r w:rsidRPr="00427B79">
        <w:rPr>
          <w:rFonts w:ascii="Palatino Linotype" w:hAnsi="Palatino Linotype"/>
          <w:bCs/>
          <w:color w:val="000000" w:themeColor="text1"/>
          <w:sz w:val="24"/>
          <w:szCs w:val="24"/>
        </w:rPr>
        <w:t xml:space="preserve"> </w:t>
      </w:r>
      <w:hyperlink r:id="rId8" w:tooltip="Derechos civiles y políticos" w:history="1">
        <w:r w:rsidRPr="00427B79">
          <w:rPr>
            <w:rFonts w:ascii="Palatino Linotype" w:hAnsi="Palatino Linotype"/>
            <w:bCs/>
            <w:color w:val="000000" w:themeColor="text1"/>
            <w:sz w:val="24"/>
            <w:szCs w:val="24"/>
          </w:rPr>
          <w:t>derecho</w:t>
        </w:r>
      </w:hyperlink>
      <w:r w:rsidRPr="00427B79">
        <w:rPr>
          <w:rFonts w:ascii="Palatino Linotype" w:hAnsi="Palatino Linotype"/>
          <w:bCs/>
          <w:color w:val="000000" w:themeColor="text1"/>
          <w:sz w:val="24"/>
          <w:szCs w:val="24"/>
        </w:rPr>
        <w:t xml:space="preserve"> </w:t>
      </w:r>
      <w:r w:rsidRPr="00427B79">
        <w:rPr>
          <w:rFonts w:ascii="Palatino Linotype" w:hAnsi="Palatino Linotype" w:cs="Arial"/>
          <w:bCs/>
          <w:color w:val="000000" w:themeColor="text1"/>
          <w:sz w:val="24"/>
          <w:szCs w:val="24"/>
        </w:rPr>
        <w:t xml:space="preserve">de una persona de buscar, </w:t>
      </w:r>
      <w:r w:rsidRPr="00427B79">
        <w:rPr>
          <w:rFonts w:ascii="Palatino Linotype" w:hAnsi="Palatino Linotype" w:cs="Arial"/>
          <w:b/>
          <w:bCs/>
          <w:color w:val="000000" w:themeColor="text1"/>
          <w:sz w:val="24"/>
          <w:szCs w:val="24"/>
          <w:u w:val="single"/>
        </w:rPr>
        <w:t xml:space="preserve">recibir </w:t>
      </w:r>
      <w:r w:rsidRPr="00427B79">
        <w:rPr>
          <w:rFonts w:ascii="Palatino Linotype" w:hAnsi="Palatino Linotype" w:cs="Arial"/>
          <w:bCs/>
          <w:color w:val="000000" w:themeColor="text1"/>
          <w:sz w:val="24"/>
          <w:szCs w:val="24"/>
        </w:rPr>
        <w:t>y difundir información en poder del gobierno u administraciones públicas.</w:t>
      </w:r>
    </w:p>
    <w:p w:rsidR="0003648B" w:rsidRPr="00427B79" w:rsidRDefault="0003648B" w:rsidP="0003648B">
      <w:pPr>
        <w:pStyle w:val="Prrafodelista"/>
        <w:autoSpaceDE w:val="0"/>
        <w:autoSpaceDN w:val="0"/>
        <w:adjustRightInd w:val="0"/>
        <w:spacing w:before="240" w:after="240" w:line="360" w:lineRule="auto"/>
        <w:ind w:left="567" w:right="616"/>
        <w:jc w:val="both"/>
        <w:rPr>
          <w:rFonts w:ascii="Palatino Linotype" w:hAnsi="Palatino Linotype" w:cs="Arial"/>
          <w:bCs/>
          <w:color w:val="000000" w:themeColor="text1"/>
          <w:sz w:val="24"/>
          <w:szCs w:val="24"/>
        </w:rPr>
      </w:pPr>
    </w:p>
    <w:p w:rsidR="0003648B" w:rsidRPr="00427B79" w:rsidRDefault="0003648B" w:rsidP="000921E9">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cs="Arial"/>
          <w:sz w:val="24"/>
          <w:szCs w:val="24"/>
        </w:rPr>
        <w:lastRenderedPageBreak/>
        <w:t xml:space="preserve">Por tanto, para que los </w:t>
      </w:r>
      <w:r w:rsidRPr="00427B79">
        <w:rPr>
          <w:rFonts w:ascii="Palatino Linotype" w:hAnsi="Palatino Linotype" w:cs="Arial"/>
          <w:b/>
          <w:sz w:val="24"/>
          <w:szCs w:val="24"/>
        </w:rPr>
        <w:t>SUJETOS OBLIGADOS</w:t>
      </w:r>
      <w:r w:rsidRPr="00427B79">
        <w:rPr>
          <w:rFonts w:ascii="Palatino Linotype" w:hAnsi="Palatino Linotype" w:cs="Arial"/>
          <w:sz w:val="24"/>
          <w:szCs w:val="24"/>
        </w:rPr>
        <w:t xml:space="preserve"> hagan efectivo el derecho de las personas de </w:t>
      </w:r>
      <w:r w:rsidRPr="00427B79">
        <w:rPr>
          <w:rFonts w:ascii="Palatino Linotype" w:hAnsi="Palatino Linotype" w:cs="Arial"/>
          <w:b/>
          <w:sz w:val="24"/>
          <w:szCs w:val="24"/>
        </w:rPr>
        <w:t>buscar, recibir y difundir información pública</w:t>
      </w:r>
      <w:r w:rsidRPr="00427B79">
        <w:rPr>
          <w:rFonts w:ascii="Palatino Linotype" w:hAnsi="Palatino Linotype" w:cs="Arial"/>
          <w:sz w:val="24"/>
          <w:szCs w:val="24"/>
        </w:rPr>
        <w:t xml:space="preserve">, información que los </w:t>
      </w:r>
      <w:r w:rsidRPr="00427B79">
        <w:rPr>
          <w:rFonts w:ascii="Palatino Linotype" w:hAnsi="Palatino Linotype" w:cs="Arial"/>
          <w:b/>
          <w:sz w:val="24"/>
          <w:szCs w:val="24"/>
        </w:rPr>
        <w:t>SUJETOS OBLIGADOS</w:t>
      </w:r>
      <w:r w:rsidRPr="00427B79">
        <w:rPr>
          <w:rFonts w:ascii="Palatino Linotype" w:hAnsi="Palatino Linotype" w:cs="Arial"/>
          <w:sz w:val="24"/>
          <w:szCs w:val="24"/>
        </w:rPr>
        <w:t xml:space="preserve"> generen, administren o posean, y que deben poner a disposición de los particulares los documentos en los que conste el ejercicio de sus atribuciones legales o que por cualquier circunstancia obre en sus archivos.</w:t>
      </w:r>
    </w:p>
    <w:p w:rsidR="0003648B" w:rsidRPr="00427B79" w:rsidRDefault="0003648B" w:rsidP="0003648B">
      <w:pPr>
        <w:pStyle w:val="Prrafodelista"/>
        <w:spacing w:before="240" w:after="240" w:line="360" w:lineRule="auto"/>
        <w:ind w:left="0"/>
        <w:jc w:val="both"/>
        <w:rPr>
          <w:rFonts w:ascii="Palatino Linotype" w:hAnsi="Palatino Linotype" w:cs="Arial"/>
          <w:sz w:val="24"/>
          <w:szCs w:val="24"/>
        </w:rPr>
      </w:pPr>
    </w:p>
    <w:p w:rsidR="0003648B" w:rsidRPr="00427B79" w:rsidRDefault="0003648B" w:rsidP="000921E9">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sz w:val="24"/>
          <w:szCs w:val="24"/>
        </w:rPr>
        <w:t>Es necesario precisar que la transparencia es un principio jurídico que se concreta especialmente en el derecho fundamental de acceder a la información pública y que la aplicación del principio de transparencia y el respeto y garantía del derecho de acceder a la información pública, son elementos indispensables para afirmar que existe un verdadero estado social y democrático de derecho, en el cual todas las personas pueden participar activamente en los asuntos que las afecten y una Administración Pública comprometida con el bienestar general.</w:t>
      </w:r>
    </w:p>
    <w:p w:rsidR="0003648B" w:rsidRPr="00427B79" w:rsidRDefault="0003648B" w:rsidP="0003648B">
      <w:pPr>
        <w:pStyle w:val="Prrafodelista"/>
        <w:spacing w:before="240" w:after="240" w:line="360" w:lineRule="auto"/>
        <w:ind w:left="0"/>
        <w:jc w:val="both"/>
        <w:rPr>
          <w:rFonts w:ascii="Palatino Linotype" w:hAnsi="Palatino Linotype" w:cs="Arial"/>
          <w:sz w:val="24"/>
          <w:szCs w:val="24"/>
        </w:rPr>
      </w:pPr>
    </w:p>
    <w:p w:rsidR="0003648B" w:rsidRPr="00427B79" w:rsidRDefault="0003648B" w:rsidP="000921E9">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sz w:val="24"/>
          <w:szCs w:val="24"/>
        </w:rPr>
        <w:t>Por otra parte, tenemos la rendición de cuenta pública; que supone la capacidad de las instituciones para hacer responsables a los gobernantes de sus actos y decisiones en los distintos niveles de poder, eso permite evitar, prevenir y en su caso, castigar el abuso de poder.</w:t>
      </w:r>
    </w:p>
    <w:p w:rsidR="0003648B" w:rsidRPr="00427B79" w:rsidRDefault="0003648B" w:rsidP="0003648B">
      <w:pPr>
        <w:pStyle w:val="Prrafodelista"/>
        <w:spacing w:before="240" w:after="240" w:line="360" w:lineRule="auto"/>
        <w:ind w:left="0"/>
        <w:jc w:val="both"/>
        <w:rPr>
          <w:rFonts w:ascii="Palatino Linotype" w:hAnsi="Palatino Linotype" w:cs="Arial"/>
          <w:sz w:val="24"/>
          <w:szCs w:val="24"/>
        </w:rPr>
      </w:pPr>
    </w:p>
    <w:p w:rsidR="0003648B" w:rsidRPr="00427B79" w:rsidRDefault="0003648B" w:rsidP="000921E9">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sz w:val="24"/>
          <w:szCs w:val="24"/>
        </w:rPr>
        <w:t xml:space="preserve">Por lo tanto, el principio de la rendición de cuentas y la transparencia encuentran un objetivo en común, buscar conciliar el interés colectivo con el interés particular de los gobernantes, si los gobernantes, funcionarios, representantes y </w:t>
      </w:r>
      <w:r w:rsidRPr="00427B79">
        <w:rPr>
          <w:rFonts w:ascii="Palatino Linotype" w:hAnsi="Palatino Linotype"/>
          <w:sz w:val="24"/>
          <w:szCs w:val="24"/>
        </w:rPr>
        <w:lastRenderedPageBreak/>
        <w:t>líderes políticos, es decir, todos los que dispongan de algún poder político, saben que puedan ser llamados a cuentas, que su acción política, su desempeño gubernamental y sus decisiones podrán generar efectos positivos o negativos a su interés personal, tendrán mayor diligencia en el momento de ejercer el poder y atenderán, tanto el interés colectivo como la relación de medios y fines en el quehacer gubernamental, precisamente para que el resultado de sus resoluciones no afecte o perjudique el interés general o el particular de sus gobernados y representados.</w:t>
      </w:r>
    </w:p>
    <w:p w:rsidR="0003648B" w:rsidRPr="00427B79" w:rsidRDefault="0003648B" w:rsidP="0003648B">
      <w:pPr>
        <w:pStyle w:val="Prrafodelista"/>
        <w:spacing w:before="240" w:after="240" w:line="360" w:lineRule="auto"/>
        <w:ind w:left="0"/>
        <w:jc w:val="both"/>
        <w:rPr>
          <w:rFonts w:ascii="Palatino Linotype" w:hAnsi="Palatino Linotype" w:cs="Arial"/>
          <w:sz w:val="24"/>
          <w:szCs w:val="24"/>
        </w:rPr>
      </w:pPr>
    </w:p>
    <w:p w:rsidR="0003648B" w:rsidRPr="00427B79" w:rsidRDefault="0003648B" w:rsidP="000921E9">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sz w:val="24"/>
          <w:szCs w:val="24"/>
        </w:rPr>
        <w:t xml:space="preserve">La Constitución Política de los Estados Unidos Mexicanos, adopta la </w:t>
      </w:r>
      <w:r w:rsidRPr="00427B79">
        <w:rPr>
          <w:rFonts w:ascii="Palatino Linotype" w:hAnsi="Palatino Linotype"/>
          <w:i/>
          <w:sz w:val="24"/>
          <w:szCs w:val="24"/>
        </w:rPr>
        <w:t>ratio decidendi</w:t>
      </w:r>
      <w:r w:rsidRPr="00427B79">
        <w:rPr>
          <w:rFonts w:ascii="Palatino Linotype" w:hAnsi="Palatino Linotype"/>
          <w:sz w:val="24"/>
          <w:szCs w:val="24"/>
        </w:rPr>
        <w:t xml:space="preserve"> en la sentencia de la Corte Interamericana de Derechos Humanos, de que en principio es posible acceder a toda información pública, salvo que la ley de manera justificada, proporcionada y razonable establezca alguna restricción a dicho acceso, de modo que las restricciones están limitadas en el tiempo, pues el principio acogido es el de la máxima publicidad. Obviamente, este acceso se garantiza sin menoscabo de la intimidad de la vida privada y de los datos personales.</w:t>
      </w:r>
    </w:p>
    <w:p w:rsidR="0003648B" w:rsidRPr="00427B79" w:rsidRDefault="0003648B" w:rsidP="0003648B">
      <w:pPr>
        <w:pStyle w:val="Prrafodelista"/>
        <w:spacing w:before="240" w:after="240" w:line="360" w:lineRule="auto"/>
        <w:ind w:left="0"/>
        <w:jc w:val="both"/>
        <w:rPr>
          <w:rFonts w:ascii="Palatino Linotype" w:hAnsi="Palatino Linotype" w:cs="Arial"/>
          <w:sz w:val="24"/>
          <w:szCs w:val="24"/>
        </w:rPr>
      </w:pPr>
    </w:p>
    <w:p w:rsidR="0003648B" w:rsidRPr="00427B79" w:rsidRDefault="0003648B" w:rsidP="000921E9">
      <w:pPr>
        <w:pStyle w:val="Prrafodelista"/>
        <w:numPr>
          <w:ilvl w:val="0"/>
          <w:numId w:val="1"/>
        </w:numPr>
        <w:spacing w:before="240" w:after="240" w:line="360" w:lineRule="auto"/>
        <w:ind w:left="0" w:firstLine="0"/>
        <w:jc w:val="both"/>
        <w:rPr>
          <w:rFonts w:ascii="Palatino Linotype" w:hAnsi="Palatino Linotype" w:cs="Arial"/>
          <w:sz w:val="24"/>
          <w:szCs w:val="24"/>
        </w:rPr>
      </w:pPr>
      <w:r w:rsidRPr="00427B79">
        <w:rPr>
          <w:rFonts w:ascii="Palatino Linotype" w:hAnsi="Palatino Linotype"/>
          <w:sz w:val="24"/>
          <w:szCs w:val="24"/>
        </w:rPr>
        <w:t>Por estas razones las leyes de transparencia y acceso a la información en México, tienen como objetivo primordial el garantizar que los ciudadanos puedan solicitar documentos que poseen las instituciones gubernamentales.</w:t>
      </w:r>
    </w:p>
    <w:p w:rsidR="0003648B" w:rsidRPr="00427B79" w:rsidRDefault="0003648B" w:rsidP="0003648B">
      <w:pPr>
        <w:pStyle w:val="Prrafodelista"/>
        <w:spacing w:before="240" w:after="240" w:line="360" w:lineRule="auto"/>
        <w:ind w:left="0"/>
        <w:jc w:val="both"/>
        <w:rPr>
          <w:rFonts w:ascii="Palatino Linotype" w:hAnsi="Palatino Linotype" w:cs="Arial"/>
          <w:sz w:val="24"/>
          <w:szCs w:val="24"/>
          <w:highlight w:val="lightGray"/>
        </w:rPr>
      </w:pPr>
    </w:p>
    <w:p w:rsidR="0003648B" w:rsidRPr="00D35B4C" w:rsidRDefault="0003648B" w:rsidP="000921E9">
      <w:pPr>
        <w:pStyle w:val="Prrafodelista"/>
        <w:numPr>
          <w:ilvl w:val="0"/>
          <w:numId w:val="1"/>
        </w:numPr>
        <w:spacing w:before="240" w:after="240" w:line="360" w:lineRule="auto"/>
        <w:ind w:left="0" w:firstLine="0"/>
        <w:jc w:val="both"/>
        <w:rPr>
          <w:rFonts w:ascii="Palatino Linotype" w:hAnsi="Palatino Linotype" w:cs="Arial"/>
          <w:sz w:val="24"/>
          <w:szCs w:val="24"/>
        </w:rPr>
      </w:pPr>
      <w:r w:rsidRPr="00D35B4C">
        <w:rPr>
          <w:rFonts w:ascii="Palatino Linotype" w:hAnsi="Palatino Linotype"/>
          <w:sz w:val="24"/>
          <w:szCs w:val="24"/>
        </w:rPr>
        <w:lastRenderedPageBreak/>
        <w:t>En efecto, la Ley de Transparencia y Acceso a la Información Pública del Estado de México y Municipios, su propósito es transparentar el ejercicio de la función pública, tutelar y garantizar a toda persona, el ejercicio del derecho de acceso a la información pública, a sus datos personales, así como a la corrección y supresión de éstos y proteger los datos personales que se encuentren en posesión de los sujetos obligados.</w:t>
      </w:r>
    </w:p>
    <w:p w:rsidR="0003648B" w:rsidRPr="00D35B4C" w:rsidRDefault="0003648B" w:rsidP="0003648B">
      <w:pPr>
        <w:pStyle w:val="Prrafodelista"/>
        <w:spacing w:before="240" w:after="240" w:line="360" w:lineRule="auto"/>
        <w:ind w:left="0"/>
        <w:jc w:val="both"/>
        <w:rPr>
          <w:rFonts w:ascii="Palatino Linotype" w:hAnsi="Palatino Linotype" w:cs="Arial"/>
          <w:sz w:val="24"/>
          <w:szCs w:val="24"/>
        </w:rPr>
      </w:pPr>
    </w:p>
    <w:p w:rsidR="0003648B" w:rsidRPr="00D35B4C" w:rsidRDefault="0003648B" w:rsidP="000921E9">
      <w:pPr>
        <w:pStyle w:val="Prrafodelista"/>
        <w:numPr>
          <w:ilvl w:val="0"/>
          <w:numId w:val="1"/>
        </w:numPr>
        <w:pBdr>
          <w:top w:val="nil"/>
          <w:left w:val="nil"/>
          <w:bottom w:val="nil"/>
          <w:right w:val="nil"/>
          <w:between w:val="nil"/>
          <w:bar w:val="nil"/>
        </w:pBdr>
        <w:spacing w:before="240" w:after="240" w:line="360" w:lineRule="auto"/>
        <w:ind w:left="0" w:firstLine="0"/>
        <w:jc w:val="both"/>
        <w:rPr>
          <w:rFonts w:ascii="Palatino Linotype" w:hAnsi="Palatino Linotype"/>
          <w:sz w:val="24"/>
          <w:szCs w:val="24"/>
        </w:rPr>
      </w:pPr>
      <w:r w:rsidRPr="00D35B4C">
        <w:rPr>
          <w:rFonts w:ascii="Palatino Linotype" w:hAnsi="Palatino Linotype"/>
          <w:sz w:val="24"/>
          <w:szCs w:val="24"/>
        </w:rPr>
        <w:t xml:space="preserve">Derivado de dicha obligación se impone también la obligación de </w:t>
      </w:r>
      <w:r w:rsidRPr="00D35B4C">
        <w:rPr>
          <w:rFonts w:ascii="Palatino Linotype" w:hAnsi="Palatino Linotype"/>
          <w:bCs/>
          <w:color w:val="000000" w:themeColor="text1"/>
          <w:sz w:val="24"/>
          <w:szCs w:val="24"/>
        </w:rPr>
        <w:t>preservar sus documentos en archivos administrativos actualizados y publicarán a través de los medios electrónicos disponibles, la información que posean generen o administren de forma completa y actualizada.</w:t>
      </w:r>
    </w:p>
    <w:p w:rsidR="0003648B" w:rsidRPr="00427B79" w:rsidRDefault="0003648B" w:rsidP="0003648B">
      <w:pPr>
        <w:pStyle w:val="Prrafodelista"/>
        <w:spacing w:before="240" w:after="240" w:line="360" w:lineRule="auto"/>
        <w:ind w:left="0"/>
        <w:jc w:val="both"/>
        <w:rPr>
          <w:rFonts w:ascii="Palatino Linotype" w:hAnsi="Palatino Linotype"/>
          <w:bCs/>
          <w:color w:val="000000" w:themeColor="text1"/>
          <w:sz w:val="24"/>
          <w:szCs w:val="24"/>
          <w:highlight w:val="lightGray"/>
        </w:rPr>
      </w:pPr>
    </w:p>
    <w:p w:rsidR="0003648B" w:rsidRPr="00D35B4C" w:rsidRDefault="0003648B" w:rsidP="000921E9">
      <w:pPr>
        <w:pStyle w:val="Prrafodelista"/>
        <w:numPr>
          <w:ilvl w:val="0"/>
          <w:numId w:val="1"/>
        </w:numPr>
        <w:spacing w:before="240" w:after="240" w:line="360" w:lineRule="auto"/>
        <w:ind w:left="0" w:firstLine="0"/>
        <w:jc w:val="both"/>
        <w:rPr>
          <w:rFonts w:ascii="Palatino Linotype" w:hAnsi="Palatino Linotype"/>
          <w:bCs/>
          <w:color w:val="000000" w:themeColor="text1"/>
          <w:sz w:val="24"/>
          <w:szCs w:val="24"/>
        </w:rPr>
      </w:pPr>
      <w:r w:rsidRPr="00D35B4C">
        <w:rPr>
          <w:rFonts w:ascii="Palatino Linotype" w:hAnsi="Palatino Linotype"/>
          <w:sz w:val="24"/>
          <w:szCs w:val="24"/>
        </w:rPr>
        <w:t>Bajo la tesitura de lo anteriormente expuesto</w:t>
      </w:r>
      <w:r w:rsidRPr="00D35B4C">
        <w:rPr>
          <w:rFonts w:ascii="Palatino Linotype" w:hAnsi="Palatino Linotype"/>
          <w:bCs/>
          <w:color w:val="000000" w:themeColor="text1"/>
          <w:sz w:val="24"/>
          <w:szCs w:val="24"/>
        </w:rPr>
        <w:t xml:space="preserve"> </w:t>
      </w:r>
      <w:r w:rsidRPr="00D35B4C">
        <w:rPr>
          <w:rFonts w:ascii="Palatino Linotype" w:hAnsi="Palatino Linotype"/>
          <w:sz w:val="24"/>
          <w:szCs w:val="24"/>
        </w:rPr>
        <w:t xml:space="preserve">se presume que la información debe existir si se refiere a las facultades, competencias y funciones que los ordenamientos jurídicos aplicables otorgan a los sujetos obligados. </w:t>
      </w:r>
    </w:p>
    <w:p w:rsidR="0003648B" w:rsidRPr="00427B79" w:rsidRDefault="0003648B" w:rsidP="0003648B">
      <w:pPr>
        <w:pStyle w:val="Prrafodelista"/>
        <w:spacing w:before="240" w:after="240" w:line="360" w:lineRule="auto"/>
        <w:ind w:left="0"/>
        <w:jc w:val="both"/>
        <w:rPr>
          <w:rFonts w:ascii="Palatino Linotype" w:hAnsi="Palatino Linotype"/>
          <w:bCs/>
          <w:color w:val="000000" w:themeColor="text1"/>
          <w:sz w:val="24"/>
          <w:szCs w:val="24"/>
          <w:highlight w:val="lightGray"/>
        </w:rPr>
      </w:pPr>
    </w:p>
    <w:p w:rsidR="0003648B" w:rsidRPr="00427B79" w:rsidRDefault="00D35B4C" w:rsidP="000921E9">
      <w:pPr>
        <w:pStyle w:val="Prrafodelista"/>
        <w:numPr>
          <w:ilvl w:val="0"/>
          <w:numId w:val="1"/>
        </w:numPr>
        <w:spacing w:before="240" w:after="240" w:line="360" w:lineRule="auto"/>
        <w:ind w:left="0" w:firstLine="0"/>
        <w:jc w:val="both"/>
        <w:rPr>
          <w:rFonts w:ascii="Palatino Linotype" w:hAnsi="Palatino Linotype"/>
          <w:bCs/>
          <w:color w:val="000000" w:themeColor="text1"/>
          <w:sz w:val="24"/>
          <w:szCs w:val="24"/>
          <w:highlight w:val="lightGray"/>
        </w:rPr>
      </w:pPr>
      <w:r w:rsidRPr="00D35B4C">
        <w:rPr>
          <w:rFonts w:ascii="Palatino Linotype" w:hAnsi="Palatino Linotype"/>
          <w:bCs/>
          <w:color w:val="000000" w:themeColor="text1"/>
          <w:sz w:val="24"/>
          <w:szCs w:val="24"/>
        </w:rPr>
        <w:t xml:space="preserve">Por lo que si en los puntos resolutivos </w:t>
      </w:r>
      <w:r w:rsidR="0003648B" w:rsidRPr="00D35B4C">
        <w:rPr>
          <w:rFonts w:ascii="Palatino Linotype" w:hAnsi="Palatino Linotype"/>
          <w:bCs/>
          <w:color w:val="000000" w:themeColor="text1"/>
          <w:sz w:val="24"/>
          <w:szCs w:val="24"/>
        </w:rPr>
        <w:t xml:space="preserve">se está ordenando </w:t>
      </w:r>
      <w:r>
        <w:rPr>
          <w:rFonts w:ascii="Palatino Linotype" w:hAnsi="Palatino Linotype"/>
          <w:bCs/>
          <w:color w:val="000000" w:themeColor="text1"/>
          <w:sz w:val="24"/>
          <w:szCs w:val="24"/>
        </w:rPr>
        <w:t xml:space="preserve">al </w:t>
      </w:r>
      <w:r w:rsidRPr="00D35B4C">
        <w:rPr>
          <w:rFonts w:ascii="Palatino Linotype" w:hAnsi="Palatino Linotype"/>
          <w:b/>
          <w:bCs/>
          <w:color w:val="000000" w:themeColor="text1"/>
          <w:sz w:val="24"/>
          <w:szCs w:val="24"/>
        </w:rPr>
        <w:t>SUJETO OBLIGADO</w:t>
      </w:r>
      <w:r>
        <w:rPr>
          <w:rFonts w:ascii="Palatino Linotype" w:hAnsi="Palatino Linotype"/>
          <w:bCs/>
          <w:color w:val="000000" w:themeColor="text1"/>
          <w:sz w:val="24"/>
          <w:szCs w:val="24"/>
        </w:rPr>
        <w:t xml:space="preserve"> </w:t>
      </w:r>
      <w:r>
        <w:rPr>
          <w:rFonts w:ascii="Palatino Linotype" w:hAnsi="Palatino Linotype" w:cs="Arial"/>
          <w:sz w:val="24"/>
          <w:szCs w:val="24"/>
        </w:rPr>
        <w:t xml:space="preserve">realizar una búsqueda de la información solicitada en términos del </w:t>
      </w:r>
      <w:r w:rsidRPr="00D35B4C">
        <w:rPr>
          <w:rFonts w:ascii="Palatino Linotype" w:hAnsi="Palatino Linotype" w:cs="Arial"/>
          <w:sz w:val="24"/>
          <w:szCs w:val="24"/>
        </w:rPr>
        <w:t xml:space="preserve">Considerando </w:t>
      </w:r>
      <w:r w:rsidRPr="00D35B4C">
        <w:rPr>
          <w:rFonts w:ascii="Palatino Linotype" w:hAnsi="Palatino Linotype" w:cs="Arial"/>
          <w:b/>
          <w:sz w:val="24"/>
          <w:szCs w:val="24"/>
        </w:rPr>
        <w:t>CUARTO</w:t>
      </w:r>
      <w:r w:rsidRPr="00D35B4C">
        <w:rPr>
          <w:rFonts w:ascii="Palatino Linotype" w:hAnsi="Palatino Linotype" w:cs="Arial"/>
          <w:sz w:val="24"/>
          <w:szCs w:val="24"/>
        </w:rPr>
        <w:t xml:space="preserve">, y entregarla al particular </w:t>
      </w:r>
      <w:r w:rsidR="0003648B" w:rsidRPr="00D35B4C">
        <w:rPr>
          <w:rFonts w:ascii="Palatino Linotype" w:hAnsi="Palatino Linotype" w:cs="Arial"/>
          <w:sz w:val="24"/>
          <w:szCs w:val="24"/>
        </w:rPr>
        <w:t>ya no cabe la manifestación simple y llana, sino que se deben observar dos puntos importantes:</w:t>
      </w:r>
    </w:p>
    <w:p w:rsidR="0003648B" w:rsidRPr="00427B79" w:rsidRDefault="0003648B" w:rsidP="0003648B">
      <w:pPr>
        <w:pStyle w:val="Prrafodelista"/>
        <w:spacing w:before="240" w:after="240" w:line="360" w:lineRule="auto"/>
        <w:ind w:left="0"/>
        <w:jc w:val="both"/>
        <w:rPr>
          <w:rFonts w:ascii="Palatino Linotype" w:hAnsi="Palatino Linotype"/>
          <w:bCs/>
          <w:color w:val="000000" w:themeColor="text1"/>
          <w:sz w:val="24"/>
          <w:szCs w:val="24"/>
          <w:highlight w:val="lightGray"/>
        </w:rPr>
      </w:pPr>
    </w:p>
    <w:p w:rsidR="0003648B" w:rsidRPr="00D35B4C" w:rsidRDefault="0003648B" w:rsidP="00B41044">
      <w:pPr>
        <w:pStyle w:val="Prrafodelista"/>
        <w:numPr>
          <w:ilvl w:val="0"/>
          <w:numId w:val="4"/>
        </w:numPr>
        <w:spacing w:before="240" w:after="240" w:line="360" w:lineRule="auto"/>
        <w:ind w:left="567" w:right="616" w:firstLine="0"/>
        <w:jc w:val="both"/>
        <w:rPr>
          <w:rFonts w:ascii="Palatino Linotype" w:hAnsi="Palatino Linotype"/>
          <w:bCs/>
          <w:color w:val="000000" w:themeColor="text1"/>
          <w:sz w:val="24"/>
          <w:szCs w:val="24"/>
        </w:rPr>
      </w:pPr>
      <w:r w:rsidRPr="00D35B4C">
        <w:rPr>
          <w:rFonts w:ascii="Palatino Linotype" w:hAnsi="Palatino Linotype"/>
          <w:bCs/>
          <w:color w:val="000000" w:themeColor="text1"/>
          <w:sz w:val="24"/>
          <w:szCs w:val="24"/>
        </w:rPr>
        <w:lastRenderedPageBreak/>
        <w:t xml:space="preserve">Si la posesión de la información es de carácter inexcusable, es decir </w:t>
      </w:r>
      <w:r w:rsidRPr="00D35B4C">
        <w:rPr>
          <w:rFonts w:ascii="Palatino Linotype" w:hAnsi="Palatino Linotype"/>
          <w:sz w:val="24"/>
          <w:szCs w:val="24"/>
        </w:rPr>
        <w:t>si el sujeto obligado, en el ejercicio de sus atribuciones, debía generar, poseer o administrar la información, pero ésta</w:t>
      </w:r>
      <w:r w:rsidR="00D35B4C">
        <w:rPr>
          <w:rFonts w:ascii="Palatino Linotype" w:hAnsi="Palatino Linotype"/>
          <w:sz w:val="24"/>
          <w:szCs w:val="24"/>
        </w:rPr>
        <w:t xml:space="preserve"> no se encuentra, el Comité de T</w:t>
      </w:r>
      <w:r w:rsidRPr="00D35B4C">
        <w:rPr>
          <w:rFonts w:ascii="Palatino Linotype" w:hAnsi="Palatino Linotype"/>
          <w:sz w:val="24"/>
          <w:szCs w:val="24"/>
        </w:rPr>
        <w:t>ransparencia deberá emitir un acuerdo de inexistencia.</w:t>
      </w:r>
    </w:p>
    <w:p w:rsidR="0003648B" w:rsidRPr="00D35B4C" w:rsidRDefault="0003648B" w:rsidP="00D35B4C">
      <w:pPr>
        <w:pStyle w:val="Prrafodelista"/>
        <w:spacing w:before="240" w:after="240" w:line="360" w:lineRule="auto"/>
        <w:ind w:left="567" w:right="616"/>
        <w:jc w:val="both"/>
        <w:rPr>
          <w:rFonts w:ascii="Palatino Linotype" w:hAnsi="Palatino Linotype"/>
          <w:bCs/>
          <w:color w:val="000000" w:themeColor="text1"/>
          <w:sz w:val="24"/>
          <w:szCs w:val="24"/>
        </w:rPr>
      </w:pPr>
    </w:p>
    <w:p w:rsidR="0003648B" w:rsidRPr="00D35B4C" w:rsidRDefault="0003648B" w:rsidP="00B41044">
      <w:pPr>
        <w:pStyle w:val="Prrafodelista"/>
        <w:numPr>
          <w:ilvl w:val="0"/>
          <w:numId w:val="4"/>
        </w:numPr>
        <w:spacing w:before="240" w:after="240" w:line="360" w:lineRule="auto"/>
        <w:ind w:left="567" w:right="616" w:firstLine="0"/>
        <w:jc w:val="both"/>
        <w:rPr>
          <w:rFonts w:ascii="Palatino Linotype" w:hAnsi="Palatino Linotype"/>
          <w:bCs/>
          <w:color w:val="000000" w:themeColor="text1"/>
          <w:sz w:val="24"/>
          <w:szCs w:val="24"/>
        </w:rPr>
      </w:pPr>
      <w:r w:rsidRPr="00D35B4C">
        <w:rPr>
          <w:rFonts w:ascii="Palatino Linotype" w:hAnsi="Palatino Linotype"/>
          <w:sz w:val="24"/>
          <w:szCs w:val="24"/>
        </w:rPr>
        <w:t>O bien pudiera suscitarse el supuesto aplicable al presente asunto, que la facultad sea de carácter potestativo o que su realización dependa de un carácter externo, en ese caso debe señalarse se debe motivar la respuesta en función de las causas que motiven tal circunstancia, en el que detalle las razones del por qué no obra en sus archivos.</w:t>
      </w:r>
    </w:p>
    <w:p w:rsidR="0003648B" w:rsidRPr="00427B79" w:rsidRDefault="0003648B" w:rsidP="0003648B">
      <w:pPr>
        <w:pStyle w:val="Prrafodelista"/>
        <w:spacing w:before="240" w:after="240" w:line="360" w:lineRule="auto"/>
        <w:ind w:left="0"/>
        <w:jc w:val="both"/>
        <w:rPr>
          <w:rFonts w:ascii="Palatino Linotype" w:hAnsi="Palatino Linotype"/>
          <w:sz w:val="24"/>
          <w:szCs w:val="24"/>
          <w:highlight w:val="lightGray"/>
        </w:rPr>
      </w:pPr>
    </w:p>
    <w:p w:rsidR="0003648B" w:rsidRPr="00D35B4C" w:rsidRDefault="0003648B" w:rsidP="000921E9">
      <w:pPr>
        <w:pStyle w:val="Prrafodelista"/>
        <w:numPr>
          <w:ilvl w:val="0"/>
          <w:numId w:val="1"/>
        </w:numPr>
        <w:pBdr>
          <w:top w:val="nil"/>
          <w:left w:val="nil"/>
          <w:bottom w:val="nil"/>
          <w:right w:val="nil"/>
          <w:between w:val="nil"/>
          <w:bar w:val="nil"/>
        </w:pBdr>
        <w:spacing w:before="240" w:after="240" w:line="360" w:lineRule="auto"/>
        <w:ind w:left="0" w:firstLine="0"/>
        <w:jc w:val="both"/>
        <w:rPr>
          <w:rFonts w:ascii="Palatino Linotype" w:hAnsi="Palatino Linotype"/>
          <w:sz w:val="24"/>
          <w:szCs w:val="24"/>
        </w:rPr>
      </w:pPr>
      <w:r w:rsidRPr="00D35B4C">
        <w:rPr>
          <w:rFonts w:ascii="Palatino Linotype" w:hAnsi="Palatino Linotype" w:cs="Arial"/>
          <w:sz w:val="24"/>
          <w:szCs w:val="24"/>
        </w:rPr>
        <w:t xml:space="preserve">En razón a las consideraciones antes señaladas es que no puedo compartir el sentido de la resolución adoptada, </w:t>
      </w:r>
      <w:r w:rsidR="00D35B4C">
        <w:rPr>
          <w:rFonts w:ascii="Palatino Linotype" w:hAnsi="Palatino Linotype" w:cs="Arial"/>
          <w:sz w:val="24"/>
          <w:szCs w:val="24"/>
        </w:rPr>
        <w:t>y me permito manifestar lo siguiente en el presente voto particular:</w:t>
      </w:r>
    </w:p>
    <w:p w:rsidR="00680533" w:rsidRPr="00427B79" w:rsidRDefault="00835C8D" w:rsidP="00835C8D">
      <w:pPr>
        <w:pStyle w:val="Ttulo1"/>
        <w:rPr>
          <w:rFonts w:eastAsia="Calibri"/>
          <w:b w:val="0"/>
          <w:color w:val="auto"/>
          <w:szCs w:val="24"/>
        </w:rPr>
      </w:pPr>
      <w:bookmarkStart w:id="5" w:name="_Toc7187819"/>
      <w:r>
        <w:rPr>
          <w:rFonts w:eastAsia="Calibri"/>
          <w:color w:val="auto"/>
          <w:szCs w:val="24"/>
        </w:rPr>
        <w:t xml:space="preserve">IV. </w:t>
      </w:r>
      <w:r w:rsidR="00680533" w:rsidRPr="00427B79">
        <w:rPr>
          <w:rFonts w:eastAsia="Calibri"/>
          <w:color w:val="auto"/>
          <w:szCs w:val="24"/>
        </w:rPr>
        <w:t>Del Pronunciamiento simple</w:t>
      </w:r>
      <w:bookmarkEnd w:id="5"/>
    </w:p>
    <w:p w:rsidR="00E6179D" w:rsidRPr="00427B79" w:rsidRDefault="00E6179D" w:rsidP="00E6179D">
      <w:pPr>
        <w:spacing w:after="0" w:line="360" w:lineRule="auto"/>
        <w:contextualSpacing/>
        <w:jc w:val="both"/>
        <w:rPr>
          <w:rFonts w:ascii="Palatino Linotype" w:eastAsia="Calibri" w:hAnsi="Palatino Linotype" w:cs="Arial"/>
          <w:sz w:val="24"/>
          <w:szCs w:val="24"/>
        </w:rPr>
      </w:pPr>
    </w:p>
    <w:p w:rsidR="00E6179D" w:rsidRPr="00427B79" w:rsidRDefault="00E6179D" w:rsidP="000921E9">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 xml:space="preserve">En numerosas ocasiones he mencionado que la fundamentación y motivación es una obligación inherente y fundamental de todas las autoridades independientemente del grado jerárquico con el que cuenten, y en el presente recurso de revisión que hoy nos ocupa no será  la excepción en la que señale este aspecto, para lo cual es importante hacer mención lo que el </w:t>
      </w:r>
      <w:r w:rsidRPr="00427B79">
        <w:rPr>
          <w:rFonts w:ascii="Palatino Linotype" w:eastAsia="Times New Roman" w:hAnsi="Palatino Linotype" w:cs="Arial"/>
          <w:sz w:val="24"/>
          <w:szCs w:val="24"/>
          <w:lang w:val="es-ES_tradnl" w:eastAsia="es-MX"/>
        </w:rPr>
        <w:t xml:space="preserve">intérprete judicial del </w:t>
      </w:r>
      <w:r w:rsidRPr="00427B79">
        <w:rPr>
          <w:rFonts w:ascii="Palatino Linotype" w:eastAsia="Times New Roman" w:hAnsi="Palatino Linotype" w:cs="Arial"/>
          <w:sz w:val="24"/>
          <w:szCs w:val="24"/>
          <w:lang w:val="es-ES_tradnl" w:eastAsia="es-MX"/>
        </w:rPr>
        <w:lastRenderedPageBreak/>
        <w:t>país ha establecido en una jurisprudencia respecto a qué debe entenderse por fundamentación y motivación, en los siguientes términos:</w:t>
      </w:r>
    </w:p>
    <w:p w:rsidR="00E6179D" w:rsidRPr="00427B79" w:rsidRDefault="00E6179D" w:rsidP="00E6179D">
      <w:pPr>
        <w:spacing w:after="0" w:line="360" w:lineRule="auto"/>
        <w:ind w:right="618"/>
        <w:contextualSpacing/>
        <w:jc w:val="both"/>
        <w:rPr>
          <w:rFonts w:ascii="Palatino Linotype" w:eastAsiaTheme="minorEastAsia" w:hAnsi="Palatino Linotype" w:cs="Arial"/>
          <w:sz w:val="24"/>
          <w:szCs w:val="24"/>
          <w:lang w:val="es-ES_tradnl" w:eastAsia="es-ES"/>
        </w:rPr>
      </w:pPr>
    </w:p>
    <w:p w:rsidR="00E6179D" w:rsidRPr="00B73B30" w:rsidRDefault="00E6179D" w:rsidP="00D35B4C">
      <w:pPr>
        <w:spacing w:after="0" w:line="360" w:lineRule="auto"/>
        <w:ind w:left="567" w:right="618"/>
        <w:contextualSpacing/>
        <w:jc w:val="both"/>
        <w:rPr>
          <w:rFonts w:ascii="Palatino Linotype" w:eastAsiaTheme="minorEastAsia" w:hAnsi="Palatino Linotype" w:cs="Arial"/>
          <w:i/>
          <w:lang w:val="es-ES_tradnl" w:eastAsia="es-ES"/>
        </w:rPr>
      </w:pPr>
      <w:r w:rsidRPr="00B73B30">
        <w:rPr>
          <w:rFonts w:ascii="Palatino Linotype" w:eastAsiaTheme="minorEastAsia" w:hAnsi="Palatino Linotype" w:cs="Arial"/>
          <w:b/>
          <w:i/>
          <w:lang w:val="es-ES_tradnl" w:eastAsia="es-ES"/>
        </w:rPr>
        <w:t>FUNDAMENTACIÓN Y MOTIVACIÓN.</w:t>
      </w:r>
      <w:r w:rsidRPr="00B73B30">
        <w:rPr>
          <w:rFonts w:ascii="Palatino Linotype" w:eastAsiaTheme="minorEastAsia" w:hAnsi="Palatino Linotype" w:cs="Arial"/>
          <w:i/>
          <w:lang w:val="es-ES_tradnl" w:eastAsia="es-ES"/>
        </w:rPr>
        <w:t xml:space="preserve"> </w:t>
      </w:r>
      <w:r w:rsidRPr="00B73B30">
        <w:rPr>
          <w:rFonts w:ascii="Palatino Linotype" w:eastAsiaTheme="minorEastAsia" w:hAnsi="Palatino Linotype" w:cs="Arial"/>
          <w:i/>
          <w:u w:val="single"/>
          <w:lang w:val="es-ES_tradnl" w:eastAsia="es-ES"/>
        </w:rPr>
        <w:t>La debida fundamentación y motivación legal, deben entenderse, por lo primero, la cita del precepto legal aplicable al caso, y por lo segundo, las razones, motivos o circunstancias especiales que llevaron a la autoridad a concluir que el caso particular encuadra en el supuesto previsto por la norma legal invocada como fundamento</w:t>
      </w:r>
      <w:r w:rsidRPr="00B73B30">
        <w:rPr>
          <w:rFonts w:ascii="Palatino Linotype" w:eastAsiaTheme="minorEastAsia" w:hAnsi="Palatino Linotype" w:cs="Arial"/>
          <w:i/>
          <w:lang w:val="es-ES_tradnl" w:eastAsia="es-ES"/>
        </w:rPr>
        <w:t>.</w:t>
      </w:r>
    </w:p>
    <w:p w:rsidR="00E6179D" w:rsidRPr="00B73B30" w:rsidRDefault="00E6179D" w:rsidP="00D35B4C">
      <w:pPr>
        <w:spacing w:after="0" w:line="360" w:lineRule="auto"/>
        <w:ind w:left="567" w:right="618"/>
        <w:contextualSpacing/>
        <w:jc w:val="both"/>
        <w:rPr>
          <w:rFonts w:ascii="Palatino Linotype" w:eastAsiaTheme="minorEastAsia" w:hAnsi="Palatino Linotype" w:cs="Arial"/>
          <w:i/>
          <w:lang w:val="es-ES_tradnl" w:eastAsia="es-ES"/>
        </w:rPr>
      </w:pPr>
      <w:r w:rsidRPr="00B73B30">
        <w:rPr>
          <w:rFonts w:ascii="Palatino Linotype" w:eastAsiaTheme="minorEastAsia" w:hAnsi="Palatino Linotype" w:cs="Arial"/>
          <w:i/>
          <w:lang w:val="es-ES_tradnl" w:eastAsia="es-ES"/>
        </w:rPr>
        <w:t>SEGUNDO TRIBUNAL COLEGIADO DEL SEXTO CIRCUITO.</w:t>
      </w:r>
    </w:p>
    <w:p w:rsidR="00E6179D" w:rsidRPr="00B73B30" w:rsidRDefault="00E6179D" w:rsidP="00D35B4C">
      <w:pPr>
        <w:spacing w:after="0" w:line="360" w:lineRule="auto"/>
        <w:ind w:left="567" w:right="618"/>
        <w:contextualSpacing/>
        <w:jc w:val="both"/>
        <w:rPr>
          <w:rFonts w:ascii="Palatino Linotype" w:eastAsiaTheme="minorEastAsia" w:hAnsi="Palatino Linotype" w:cs="Arial"/>
          <w:i/>
          <w:lang w:val="es-ES_tradnl" w:eastAsia="es-ES"/>
        </w:rPr>
      </w:pPr>
      <w:r w:rsidRPr="00B73B30">
        <w:rPr>
          <w:rFonts w:ascii="Palatino Linotype" w:eastAsiaTheme="minorEastAsia" w:hAnsi="Palatino Linotype" w:cs="Arial"/>
          <w:i/>
          <w:lang w:val="es-ES_tradnl" w:eastAsia="es-ES"/>
        </w:rPr>
        <w:t>Amparo directo 194/88. Bufete Industrial Construcciones, S.A. de C.V. 28 de junio de 1988. Unanimidad de votos. Ponente: Gustavo Calvillo Rangel. Secretario: Jorge Alberto González Álvarez.</w:t>
      </w:r>
    </w:p>
    <w:p w:rsidR="00E6179D" w:rsidRPr="00B73B30" w:rsidRDefault="00E6179D" w:rsidP="00D35B4C">
      <w:pPr>
        <w:spacing w:after="0" w:line="360" w:lineRule="auto"/>
        <w:ind w:left="567" w:right="618"/>
        <w:contextualSpacing/>
        <w:jc w:val="both"/>
        <w:rPr>
          <w:rFonts w:ascii="Palatino Linotype" w:eastAsiaTheme="minorEastAsia" w:hAnsi="Palatino Linotype" w:cs="Arial"/>
          <w:i/>
          <w:lang w:val="es-ES_tradnl" w:eastAsia="es-ES"/>
        </w:rPr>
      </w:pPr>
      <w:r w:rsidRPr="00B73B30">
        <w:rPr>
          <w:rFonts w:ascii="Palatino Linotype" w:eastAsiaTheme="minorEastAsia" w:hAnsi="Palatino Linotype" w:cs="Arial"/>
          <w:i/>
          <w:lang w:val="es-ES_tradnl" w:eastAsia="es-ES"/>
        </w:rPr>
        <w:t>Revisión fiscal 103/88. Instituto Mexicano del Seguro Social. 18 de octubre de 1988. Unanimidad de votos. Ponente: Arnoldo Nájera Virgen. Secretario: Alejandro Esponda Rincón.</w:t>
      </w:r>
    </w:p>
    <w:p w:rsidR="00E6179D" w:rsidRPr="00B73B30" w:rsidRDefault="00E6179D" w:rsidP="00D35B4C">
      <w:pPr>
        <w:spacing w:after="0" w:line="360" w:lineRule="auto"/>
        <w:ind w:left="567" w:right="618"/>
        <w:contextualSpacing/>
        <w:jc w:val="both"/>
        <w:rPr>
          <w:rFonts w:ascii="Palatino Linotype" w:eastAsiaTheme="minorEastAsia" w:hAnsi="Palatino Linotype" w:cs="Arial"/>
          <w:i/>
          <w:lang w:val="es-ES_tradnl" w:eastAsia="es-ES"/>
        </w:rPr>
      </w:pPr>
      <w:r w:rsidRPr="00B73B30">
        <w:rPr>
          <w:rFonts w:ascii="Palatino Linotype" w:eastAsiaTheme="minorEastAsia" w:hAnsi="Palatino Linotype" w:cs="Arial"/>
          <w:i/>
          <w:lang w:val="es-ES_tradnl" w:eastAsia="es-ES"/>
        </w:rPr>
        <w:t>Amparo en revisión 333/88. Adilia Romero. 26 de octubre de 1988. Unanimidad de votos. Ponente: Arnoldo Nájera Virgen. Secretario: Enrique Crispín Campos Ramírez.</w:t>
      </w:r>
    </w:p>
    <w:p w:rsidR="00E6179D" w:rsidRPr="00B73B30" w:rsidRDefault="00E6179D" w:rsidP="00D35B4C">
      <w:pPr>
        <w:spacing w:after="0" w:line="360" w:lineRule="auto"/>
        <w:ind w:left="567" w:right="618"/>
        <w:contextualSpacing/>
        <w:jc w:val="both"/>
        <w:rPr>
          <w:rFonts w:ascii="Palatino Linotype" w:eastAsiaTheme="minorEastAsia" w:hAnsi="Palatino Linotype" w:cs="Arial"/>
          <w:i/>
          <w:lang w:val="es-ES_tradnl" w:eastAsia="es-ES"/>
        </w:rPr>
      </w:pPr>
      <w:r w:rsidRPr="00B73B30">
        <w:rPr>
          <w:rFonts w:ascii="Palatino Linotype" w:eastAsiaTheme="minorEastAsia" w:hAnsi="Palatino Linotype" w:cs="Arial"/>
          <w:i/>
          <w:lang w:val="es-ES_tradnl" w:eastAsia="es-ES"/>
        </w:rPr>
        <w:t>Amparo en revisión 597/95. Emilio Maurer Bretón. 15 de noviembre de 1995. Unanimidad de votos. Ponente: Clementina Ramírez Moguel Goyzueta. Secretario: Gonzalo Carrera Molina.</w:t>
      </w:r>
    </w:p>
    <w:p w:rsidR="00E6179D" w:rsidRPr="00B73B30" w:rsidRDefault="00E6179D" w:rsidP="00D35B4C">
      <w:pPr>
        <w:spacing w:after="0" w:line="360" w:lineRule="auto"/>
        <w:ind w:left="567" w:right="618"/>
        <w:contextualSpacing/>
        <w:jc w:val="both"/>
        <w:rPr>
          <w:rFonts w:ascii="Palatino Linotype" w:eastAsiaTheme="minorEastAsia" w:hAnsi="Palatino Linotype" w:cs="Arial"/>
          <w:i/>
          <w:lang w:val="es-ES_tradnl" w:eastAsia="es-ES"/>
        </w:rPr>
      </w:pPr>
      <w:r w:rsidRPr="00B73B30">
        <w:rPr>
          <w:rFonts w:ascii="Palatino Linotype" w:eastAsiaTheme="minorEastAsia" w:hAnsi="Palatino Linotype" w:cs="Arial"/>
          <w:i/>
          <w:lang w:val="es-ES_tradnl" w:eastAsia="es-ES"/>
        </w:rPr>
        <w:t>Amparo directo 7/96. Pedro Vicente López Miro. 21 de febrero de 1996. Unanimidad de votos. Ponente: María Eugenia Estela Martínez Cardiel. Secretario: Enrique Baigts Muñoz.</w:t>
      </w:r>
    </w:p>
    <w:p w:rsidR="00E6179D" w:rsidRPr="00427B79" w:rsidRDefault="00E6179D" w:rsidP="00E6179D">
      <w:pPr>
        <w:spacing w:after="0" w:line="360" w:lineRule="auto"/>
        <w:contextualSpacing/>
        <w:jc w:val="both"/>
        <w:rPr>
          <w:rFonts w:ascii="Palatino Linotype" w:eastAsiaTheme="minorEastAsia" w:hAnsi="Palatino Linotype" w:cs="Arial"/>
          <w:sz w:val="24"/>
          <w:szCs w:val="24"/>
          <w:lang w:val="es-ES" w:eastAsia="es-ES"/>
        </w:rPr>
      </w:pPr>
    </w:p>
    <w:p w:rsidR="00E6179D" w:rsidRPr="00427B79" w:rsidRDefault="00E6179D" w:rsidP="000921E9">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lastRenderedPageBreak/>
        <w:t xml:space="preserve">Así </w:t>
      </w:r>
      <w:r w:rsidRPr="00427B79">
        <w:rPr>
          <w:rFonts w:ascii="Palatino Linotype" w:eastAsia="Times New Roman" w:hAnsi="Palatino Linotype" w:cs="Arial"/>
          <w:sz w:val="24"/>
          <w:szCs w:val="24"/>
          <w:lang w:val="es-ES_tradnl" w:eastAsia="es-MX"/>
        </w:rPr>
        <w:t>en un acto de autoridad se cumple con la debida fundamentación cuando se cita el precepto legal aplicable al caso concreto y la debida motivación cuando se expresan las razones, motivos o circunstancias que tomó en cuenta la autoridad para adecuar el hecho a los fundamentos de derecho.</w:t>
      </w:r>
    </w:p>
    <w:p w:rsidR="00E6179D" w:rsidRPr="00427B79" w:rsidRDefault="00E6179D" w:rsidP="00E6179D">
      <w:pPr>
        <w:spacing w:after="0" w:line="360" w:lineRule="auto"/>
        <w:contextualSpacing/>
        <w:jc w:val="both"/>
        <w:rPr>
          <w:rFonts w:ascii="Palatino Linotype" w:eastAsia="Calibri" w:hAnsi="Palatino Linotype" w:cs="Arial"/>
          <w:sz w:val="24"/>
          <w:szCs w:val="24"/>
        </w:rPr>
      </w:pPr>
    </w:p>
    <w:p w:rsidR="00D35B4C" w:rsidRDefault="00E6179D" w:rsidP="000921E9">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 xml:space="preserve">Lo anterior a razón de que el Sujeto Obligado se limitó simplemente a manifestar </w:t>
      </w:r>
      <w:r w:rsidRPr="00427B79">
        <w:rPr>
          <w:rFonts w:ascii="Palatino Linotype" w:eastAsia="Calibri" w:hAnsi="Palatino Linotype" w:cs="Arial"/>
          <w:i/>
          <w:sz w:val="24"/>
          <w:szCs w:val="24"/>
        </w:rPr>
        <w:t xml:space="preserve">“que no cuenta con la información” </w:t>
      </w:r>
      <w:r w:rsidRPr="00427B79">
        <w:rPr>
          <w:rFonts w:ascii="Palatino Linotype" w:eastAsia="Calibri" w:hAnsi="Palatino Linotype" w:cs="Arial"/>
          <w:sz w:val="24"/>
          <w:szCs w:val="24"/>
        </w:rPr>
        <w:t xml:space="preserve">tal respuesta es considerada como un pronunciamiento simple; sin embargo, carece de fundamentación y motivación, toda vez que no explica de manera clara y precisa las razones por las que la información no es generada, poseída o administrada y por tanto no obra en los archivos del Sujeto Obligado, lo </w:t>
      </w:r>
      <w:r w:rsidR="00D35B4C">
        <w:rPr>
          <w:rFonts w:ascii="Palatino Linotype" w:eastAsia="Calibri" w:hAnsi="Palatino Linotype" w:cs="Arial"/>
          <w:sz w:val="24"/>
          <w:szCs w:val="24"/>
        </w:rPr>
        <w:t>que en consecuencia contradice en primer lugar</w:t>
      </w:r>
      <w:r w:rsidR="00D35B4C" w:rsidRPr="00D35B4C">
        <w:rPr>
          <w:rFonts w:ascii="Palatino Linotype" w:eastAsia="Calibri" w:hAnsi="Palatino Linotype" w:cs="Arial"/>
          <w:sz w:val="24"/>
          <w:szCs w:val="24"/>
        </w:rPr>
        <w:t xml:space="preserve"> </w:t>
      </w:r>
      <w:r w:rsidR="00D35B4C">
        <w:rPr>
          <w:rFonts w:ascii="Palatino Linotype" w:eastAsia="Calibri" w:hAnsi="Palatino Linotype" w:cs="Arial"/>
          <w:sz w:val="24"/>
          <w:szCs w:val="24"/>
          <w:u w:val="single"/>
        </w:rPr>
        <w:t>e</w:t>
      </w:r>
      <w:r w:rsidRPr="00427B79">
        <w:rPr>
          <w:rFonts w:ascii="Palatino Linotype" w:eastAsia="Calibri" w:hAnsi="Palatino Linotype" w:cs="Arial"/>
          <w:sz w:val="24"/>
          <w:szCs w:val="24"/>
          <w:u w:val="single"/>
        </w:rPr>
        <w:t>l principio de certeza</w:t>
      </w:r>
      <w:r w:rsidRPr="00427B79">
        <w:rPr>
          <w:rFonts w:ascii="Palatino Linotype" w:eastAsia="Calibri" w:hAnsi="Palatino Linotype" w:cs="Arial"/>
          <w:sz w:val="24"/>
          <w:szCs w:val="24"/>
        </w:rPr>
        <w:t xml:space="preserve">, en razón de que el acto de autoridad que realizó el </w:t>
      </w:r>
      <w:r w:rsidR="00680533" w:rsidRPr="00427B79">
        <w:rPr>
          <w:rFonts w:ascii="Palatino Linotype" w:eastAsia="Calibri" w:hAnsi="Palatino Linotype" w:cs="Arial"/>
          <w:sz w:val="24"/>
          <w:szCs w:val="24"/>
        </w:rPr>
        <w:t>Secretaría de Finanzas del Estado de México</w:t>
      </w:r>
      <w:r w:rsidRPr="00427B79">
        <w:rPr>
          <w:rFonts w:ascii="Palatino Linotype" w:eastAsia="Calibri" w:hAnsi="Palatino Linotype" w:cs="Arial"/>
          <w:sz w:val="24"/>
          <w:szCs w:val="24"/>
        </w:rPr>
        <w:t xml:space="preserve"> en respuesta a la solicitud carece de fundamentación y motivación, lo que en consecuencia no brinda seguridad y certidumbre jurídica al particular, imposibilitando conocer si la postura</w:t>
      </w:r>
      <w:r w:rsidR="00D35B4C">
        <w:rPr>
          <w:rFonts w:ascii="Palatino Linotype" w:eastAsia="Calibri" w:hAnsi="Palatino Linotype" w:cs="Arial"/>
          <w:sz w:val="24"/>
          <w:szCs w:val="24"/>
        </w:rPr>
        <w:t xml:space="preserve"> adoptada por el Sujeto Obligado</w:t>
      </w:r>
      <w:r w:rsidRPr="00427B79">
        <w:rPr>
          <w:rFonts w:ascii="Palatino Linotype" w:eastAsia="Calibri" w:hAnsi="Palatino Linotype" w:cs="Arial"/>
          <w:sz w:val="24"/>
          <w:szCs w:val="24"/>
        </w:rPr>
        <w:t xml:space="preserve"> es apegada a derecho; y </w:t>
      </w:r>
      <w:r w:rsidR="00D35B4C">
        <w:rPr>
          <w:rFonts w:ascii="Palatino Linotype" w:eastAsia="Calibri" w:hAnsi="Palatino Linotype" w:cs="Arial"/>
          <w:sz w:val="24"/>
          <w:szCs w:val="24"/>
        </w:rPr>
        <w:t>en segundo lugar</w:t>
      </w:r>
      <w:r w:rsidRPr="00427B79">
        <w:rPr>
          <w:rFonts w:ascii="Palatino Linotype" w:eastAsia="Calibri" w:hAnsi="Palatino Linotype" w:cs="Arial"/>
          <w:sz w:val="24"/>
          <w:szCs w:val="24"/>
        </w:rPr>
        <w:t xml:space="preserve"> </w:t>
      </w:r>
      <w:r w:rsidR="00D35B4C">
        <w:rPr>
          <w:rFonts w:ascii="Palatino Linotype" w:eastAsia="Calibri" w:hAnsi="Palatino Linotype" w:cs="Arial"/>
          <w:sz w:val="24"/>
          <w:szCs w:val="24"/>
          <w:u w:val="single"/>
        </w:rPr>
        <w:t>e</w:t>
      </w:r>
      <w:r w:rsidRPr="00427B79">
        <w:rPr>
          <w:rFonts w:ascii="Palatino Linotype" w:eastAsia="Calibri" w:hAnsi="Palatino Linotype" w:cs="Arial"/>
          <w:sz w:val="24"/>
          <w:szCs w:val="24"/>
          <w:u w:val="single"/>
        </w:rPr>
        <w:t>l artículo 19 segundo párrafo</w:t>
      </w:r>
      <w:r w:rsidRPr="00427B79">
        <w:rPr>
          <w:rFonts w:ascii="Palatino Linotype" w:eastAsia="Calibri" w:hAnsi="Palatino Linotype" w:cs="Arial"/>
          <w:sz w:val="24"/>
          <w:szCs w:val="24"/>
        </w:rPr>
        <w:t xml:space="preserve"> que señala </w:t>
      </w:r>
      <w:r w:rsidRPr="00427B79">
        <w:rPr>
          <w:rFonts w:ascii="Palatino Linotype" w:eastAsia="Calibri" w:hAnsi="Palatino Linotype" w:cs="Arial"/>
          <w:i/>
          <w:sz w:val="24"/>
          <w:szCs w:val="24"/>
        </w:rPr>
        <w:t>“En los casos en que ciertas facultades, competencias o funciones no se hayan ejercido, se debe motivar la respuesta en función de las causas que motiven tal circunstancia.”</w:t>
      </w:r>
      <w:r w:rsidRPr="00427B79">
        <w:rPr>
          <w:rFonts w:ascii="Palatino Linotype" w:eastAsia="Calibri" w:hAnsi="Palatino Linotype" w:cs="Arial"/>
          <w:sz w:val="24"/>
          <w:szCs w:val="24"/>
        </w:rPr>
        <w:t xml:space="preserve"> </w:t>
      </w:r>
    </w:p>
    <w:p w:rsidR="00D35B4C" w:rsidRDefault="00D35B4C" w:rsidP="00D35B4C">
      <w:pPr>
        <w:spacing w:after="0" w:line="360" w:lineRule="auto"/>
        <w:contextualSpacing/>
        <w:jc w:val="both"/>
        <w:rPr>
          <w:rFonts w:ascii="Palatino Linotype" w:eastAsia="Calibri" w:hAnsi="Palatino Linotype" w:cs="Arial"/>
          <w:sz w:val="24"/>
          <w:szCs w:val="24"/>
        </w:rPr>
      </w:pPr>
    </w:p>
    <w:p w:rsidR="00A22908" w:rsidRDefault="00D35B4C" w:rsidP="000921E9">
      <w:pPr>
        <w:numPr>
          <w:ilvl w:val="0"/>
          <w:numId w:val="1"/>
        </w:numPr>
        <w:spacing w:after="0" w:line="360" w:lineRule="auto"/>
        <w:ind w:left="0" w:firstLine="0"/>
        <w:contextualSpacing/>
        <w:jc w:val="both"/>
        <w:rPr>
          <w:rFonts w:ascii="Palatino Linotype" w:eastAsia="Calibri" w:hAnsi="Palatino Linotype" w:cs="Arial"/>
          <w:sz w:val="24"/>
          <w:szCs w:val="24"/>
        </w:rPr>
      </w:pPr>
      <w:r>
        <w:rPr>
          <w:rFonts w:ascii="Palatino Linotype" w:eastAsia="Calibri" w:hAnsi="Palatino Linotype" w:cs="Arial"/>
          <w:sz w:val="24"/>
          <w:szCs w:val="24"/>
        </w:rPr>
        <w:t xml:space="preserve">Por lo que si </w:t>
      </w:r>
      <w:r w:rsidR="00E6179D" w:rsidRPr="00427B79">
        <w:rPr>
          <w:rFonts w:ascii="Palatino Linotype" w:eastAsia="Calibri" w:hAnsi="Palatino Linotype" w:cs="Arial"/>
          <w:sz w:val="24"/>
          <w:szCs w:val="24"/>
        </w:rPr>
        <w:t xml:space="preserve">el Sujeto Obligado no genera, administra o posee la información que solicitó el particular, </w:t>
      </w:r>
      <w:r>
        <w:rPr>
          <w:rFonts w:ascii="Palatino Linotype" w:eastAsia="Calibri" w:hAnsi="Palatino Linotype" w:cs="Arial"/>
          <w:sz w:val="24"/>
          <w:szCs w:val="24"/>
        </w:rPr>
        <w:t xml:space="preserve">el mismo </w:t>
      </w:r>
      <w:r w:rsidR="0083488C">
        <w:rPr>
          <w:rFonts w:ascii="Palatino Linotype" w:eastAsia="Calibri" w:hAnsi="Palatino Linotype" w:cs="Arial"/>
          <w:sz w:val="24"/>
          <w:szCs w:val="24"/>
        </w:rPr>
        <w:t>deberá fundar y motivar</w:t>
      </w:r>
      <w:r w:rsidR="00E6179D" w:rsidRPr="00427B79">
        <w:rPr>
          <w:rFonts w:ascii="Palatino Linotype" w:eastAsia="Calibri" w:hAnsi="Palatino Linotype" w:cs="Arial"/>
          <w:sz w:val="24"/>
          <w:szCs w:val="24"/>
        </w:rPr>
        <w:t xml:space="preserve"> debidamente las razones </w:t>
      </w:r>
      <w:r w:rsidR="00E6179D" w:rsidRPr="00427B79">
        <w:rPr>
          <w:rFonts w:ascii="Palatino Linotype" w:eastAsia="Calibri" w:hAnsi="Palatino Linotype" w:cs="Arial"/>
          <w:sz w:val="24"/>
          <w:szCs w:val="24"/>
        </w:rPr>
        <w:lastRenderedPageBreak/>
        <w:t>o circunstancias por las que no genera, posee o administra la información precisando de manera clara, las razones que expliquen las causas por las que no se cuenta con la información requerida en el presente asunto.</w:t>
      </w:r>
    </w:p>
    <w:p w:rsidR="00A22908" w:rsidRDefault="00A22908" w:rsidP="00A22908">
      <w:pPr>
        <w:pStyle w:val="Prrafodelista"/>
        <w:rPr>
          <w:rFonts w:ascii="Palatino Linotype" w:eastAsia="Calibri" w:hAnsi="Palatino Linotype" w:cs="Arial"/>
          <w:sz w:val="24"/>
          <w:szCs w:val="24"/>
          <w:lang w:val="es-ES_tradnl"/>
        </w:rPr>
      </w:pPr>
    </w:p>
    <w:p w:rsidR="00A22908" w:rsidRPr="00A22908" w:rsidRDefault="00A22908" w:rsidP="000921E9">
      <w:pPr>
        <w:numPr>
          <w:ilvl w:val="0"/>
          <w:numId w:val="1"/>
        </w:numPr>
        <w:spacing w:after="0" w:line="360" w:lineRule="auto"/>
        <w:ind w:left="0" w:firstLine="0"/>
        <w:contextualSpacing/>
        <w:jc w:val="both"/>
        <w:rPr>
          <w:rFonts w:ascii="Palatino Linotype" w:eastAsia="Calibri" w:hAnsi="Palatino Linotype" w:cs="Arial"/>
          <w:sz w:val="24"/>
          <w:szCs w:val="24"/>
        </w:rPr>
      </w:pPr>
      <w:r w:rsidRPr="00A22908">
        <w:rPr>
          <w:rFonts w:ascii="Palatino Linotype" w:eastAsia="Calibri" w:hAnsi="Palatino Linotype" w:cs="Arial"/>
          <w:sz w:val="24"/>
          <w:szCs w:val="24"/>
          <w:lang w:val="es-ES_tradnl"/>
        </w:rPr>
        <w:t>Para precisar los alcances de la fundamentación y motivación a que están sujetos todos los actos de autoridad, es oportuno remitirnos al artículo 16, primer párrafo de la Constitución Política de los Estados Unidos Mexicanos, en el que se impone a las autoridades la obligación de fundar y motivar todo acto que implique una molestia en la esfera de derecho de las personas:</w:t>
      </w:r>
    </w:p>
    <w:p w:rsidR="00A22908" w:rsidRPr="00A22908" w:rsidRDefault="00A22908" w:rsidP="00A22908">
      <w:pPr>
        <w:spacing w:after="0" w:line="360" w:lineRule="auto"/>
        <w:contextualSpacing/>
        <w:jc w:val="both"/>
        <w:rPr>
          <w:rFonts w:ascii="Palatino Linotype" w:eastAsia="Calibri" w:hAnsi="Palatino Linotype" w:cs="Arial"/>
          <w:sz w:val="24"/>
          <w:szCs w:val="24"/>
          <w:lang w:val="es-ES"/>
        </w:rPr>
      </w:pPr>
    </w:p>
    <w:p w:rsidR="00A22908" w:rsidRPr="00A22908" w:rsidRDefault="00A22908" w:rsidP="00A22908">
      <w:pPr>
        <w:spacing w:after="0" w:line="360" w:lineRule="auto"/>
        <w:ind w:left="567" w:right="616"/>
        <w:contextualSpacing/>
        <w:jc w:val="both"/>
        <w:rPr>
          <w:rFonts w:ascii="Palatino Linotype" w:eastAsia="Calibri" w:hAnsi="Palatino Linotype" w:cs="Arial"/>
          <w:i/>
          <w:lang w:val="es-ES_tradnl"/>
        </w:rPr>
      </w:pPr>
      <w:r w:rsidRPr="00A22908">
        <w:rPr>
          <w:rFonts w:ascii="Palatino Linotype" w:eastAsia="Calibri" w:hAnsi="Palatino Linotype" w:cs="Arial"/>
          <w:b/>
          <w:i/>
          <w:lang w:val="es-ES_tradnl"/>
        </w:rPr>
        <w:t>Artículo 16.</w:t>
      </w:r>
      <w:r w:rsidRPr="00A22908">
        <w:rPr>
          <w:rFonts w:ascii="Palatino Linotype" w:eastAsia="Calibri" w:hAnsi="Palatino Linotype" w:cs="Arial"/>
          <w:i/>
          <w:lang w:val="es-ES_tradnl"/>
        </w:rPr>
        <w:t xml:space="preserve"> Nadie puede ser molestado en su persona, familia, domicilio, papeles o posesiones, </w:t>
      </w:r>
      <w:r w:rsidRPr="00A22908">
        <w:rPr>
          <w:rFonts w:ascii="Palatino Linotype" w:eastAsia="Calibri" w:hAnsi="Palatino Linotype" w:cs="Arial"/>
          <w:b/>
          <w:i/>
          <w:lang w:val="es-ES_tradnl"/>
        </w:rPr>
        <w:t>sino en virtud de mandamiento escrito de la autoridad competente, que funde y motive la causa legal del procedimiento</w:t>
      </w:r>
      <w:r w:rsidRPr="00A22908">
        <w:rPr>
          <w:rFonts w:ascii="Palatino Linotype" w:eastAsia="Calibri" w:hAnsi="Palatino Linotype" w:cs="Arial"/>
          <w:i/>
          <w:lang w:val="es-ES_tradnl"/>
        </w:rPr>
        <w:t>.</w:t>
      </w:r>
    </w:p>
    <w:p w:rsidR="00A22908" w:rsidRPr="00A22908" w:rsidRDefault="00A22908" w:rsidP="00A22908">
      <w:pPr>
        <w:spacing w:after="0" w:line="360" w:lineRule="auto"/>
        <w:contextualSpacing/>
        <w:jc w:val="both"/>
        <w:rPr>
          <w:rFonts w:ascii="Palatino Linotype" w:eastAsia="Calibri" w:hAnsi="Palatino Linotype" w:cs="Arial"/>
          <w:sz w:val="24"/>
          <w:szCs w:val="24"/>
          <w:lang w:val="es-ES_tradnl"/>
        </w:rPr>
      </w:pPr>
    </w:p>
    <w:p w:rsidR="00A22908" w:rsidRDefault="00A22908" w:rsidP="000921E9">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De este precepto se deduce que en el régimen jurídico mexicano, la fundamentación y motivación de los actos o resoluciones no es exclusiva de los órganos judiciales o jurisdiccionales, sino que se extiende a todas las autoridades.</w:t>
      </w:r>
    </w:p>
    <w:p w:rsidR="00C602B8" w:rsidRDefault="00C602B8" w:rsidP="00C602B8">
      <w:pPr>
        <w:pStyle w:val="Prrafodelista"/>
        <w:spacing w:after="0" w:line="360" w:lineRule="auto"/>
        <w:ind w:left="0"/>
        <w:jc w:val="both"/>
        <w:rPr>
          <w:rFonts w:ascii="Palatino Linotype" w:eastAsia="Calibri" w:hAnsi="Palatino Linotype" w:cs="Arial"/>
          <w:sz w:val="24"/>
          <w:szCs w:val="24"/>
          <w:lang w:val="es-ES_tradnl"/>
        </w:rPr>
      </w:pPr>
    </w:p>
    <w:p w:rsidR="00A22908" w:rsidRDefault="00A22908" w:rsidP="000921E9">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En este contexto, en todo acto que la autoridad pronuncie en el ejercicio de sus atribuciones, debe expresar los fundamentos legales que le dieron origen y las razones por las que se deben aplicar al caso concreto.</w:t>
      </w:r>
    </w:p>
    <w:p w:rsidR="00A22908" w:rsidRDefault="00A22908" w:rsidP="00A22908">
      <w:pPr>
        <w:pStyle w:val="Prrafodelista"/>
        <w:spacing w:after="0" w:line="360" w:lineRule="auto"/>
        <w:ind w:left="0"/>
        <w:jc w:val="both"/>
        <w:rPr>
          <w:rFonts w:ascii="Palatino Linotype" w:eastAsia="Calibri" w:hAnsi="Palatino Linotype" w:cs="Arial"/>
          <w:sz w:val="24"/>
          <w:szCs w:val="24"/>
          <w:lang w:val="es-ES_tradnl"/>
        </w:rPr>
      </w:pPr>
    </w:p>
    <w:p w:rsidR="00A22908" w:rsidRDefault="00A22908" w:rsidP="000921E9">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lastRenderedPageBreak/>
        <w:t>Entonces, la fundamentación y motivación consiste en la obligación que tiene todo ente público de expresar los preceptos jurídicos aplicables al asunto motivo del acto y las razones o argumentos de su actuar.</w:t>
      </w:r>
    </w:p>
    <w:p w:rsidR="00A22908" w:rsidRPr="00A22908" w:rsidRDefault="00A22908" w:rsidP="00A22908">
      <w:pPr>
        <w:pStyle w:val="Prrafodelista"/>
        <w:rPr>
          <w:rFonts w:ascii="Palatino Linotype" w:eastAsia="Calibri" w:hAnsi="Palatino Linotype" w:cs="Arial"/>
          <w:sz w:val="24"/>
          <w:szCs w:val="24"/>
          <w:lang w:val="es-ES_tradnl"/>
        </w:rPr>
      </w:pPr>
    </w:p>
    <w:p w:rsidR="00A22908" w:rsidRDefault="00A22908" w:rsidP="000921E9">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Han sido vastos los estudios doctrinarios relativos a estos derechos fundamentales y al principio de legalidad en ellos contenidos; como ejemplo, el procesalista José Ovalle Fabela, en su obra “Garantías Constitucionales del Proceso”, refiere que “...la garantía de fundamentación impone a las autoridades el deber de precisar las disposiciones jurídicas que aplican a los hechos de que se trate y que sustenten su competencia, así como de manifestar los razonamientos que demuestren la aplicabilidad de dichas disposiciones, todo lo cual se debe traducir en una argumentación o juicio de derecho. Pero de igual manera, la garantía de motivación exige que las autoridades expongan los razonamientos con base en los cuales llegaron a la conclusión de que esos hechos son ciertos, normalmente a partir del análisis de las pruebas, lo cual se debe exteriorizar en una argumentación o juicio de hecho....”</w:t>
      </w:r>
    </w:p>
    <w:p w:rsidR="00A22908" w:rsidRPr="00A22908" w:rsidRDefault="00A22908" w:rsidP="00A22908">
      <w:pPr>
        <w:spacing w:after="0" w:line="360" w:lineRule="auto"/>
        <w:ind w:right="616"/>
        <w:contextualSpacing/>
        <w:jc w:val="both"/>
        <w:rPr>
          <w:rFonts w:ascii="Palatino Linotype" w:eastAsia="Calibri" w:hAnsi="Palatino Linotype" w:cs="Arial"/>
          <w:i/>
          <w:lang w:val="es-ES_tradnl"/>
        </w:rPr>
      </w:pPr>
    </w:p>
    <w:p w:rsidR="00A22908" w:rsidRDefault="00A22908" w:rsidP="000921E9">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t>Así, en un acto de autoridad se surte la debida fundamentación cuando se cita el precepto legal aplicable al caso concreto y la debida motivación cuando se expresan las razones, motivos o circunstancias que tomó en cuenta la autoridad para adecuar el hecho a los fundamentos de derecho.</w:t>
      </w:r>
    </w:p>
    <w:p w:rsidR="00A22908" w:rsidRDefault="00A22908" w:rsidP="00A22908">
      <w:pPr>
        <w:pStyle w:val="Prrafodelista"/>
        <w:spacing w:after="0" w:line="360" w:lineRule="auto"/>
        <w:ind w:left="0"/>
        <w:jc w:val="both"/>
        <w:rPr>
          <w:rFonts w:ascii="Palatino Linotype" w:eastAsia="Calibri" w:hAnsi="Palatino Linotype" w:cs="Arial"/>
          <w:sz w:val="24"/>
          <w:szCs w:val="24"/>
          <w:lang w:val="es-ES_tradnl"/>
        </w:rPr>
      </w:pPr>
    </w:p>
    <w:p w:rsidR="00E6179D" w:rsidRDefault="00A22908" w:rsidP="000921E9">
      <w:pPr>
        <w:pStyle w:val="Prrafodelista"/>
        <w:numPr>
          <w:ilvl w:val="0"/>
          <w:numId w:val="1"/>
        </w:numPr>
        <w:spacing w:after="0" w:line="360" w:lineRule="auto"/>
        <w:ind w:left="0" w:firstLine="0"/>
        <w:jc w:val="both"/>
        <w:rPr>
          <w:rFonts w:ascii="Palatino Linotype" w:eastAsia="Calibri" w:hAnsi="Palatino Linotype" w:cs="Arial"/>
          <w:sz w:val="24"/>
          <w:szCs w:val="24"/>
          <w:lang w:val="es-ES_tradnl"/>
        </w:rPr>
      </w:pPr>
      <w:r w:rsidRPr="00A22908">
        <w:rPr>
          <w:rFonts w:ascii="Palatino Linotype" w:eastAsia="Calibri" w:hAnsi="Palatino Linotype" w:cs="Arial"/>
          <w:sz w:val="24"/>
          <w:szCs w:val="24"/>
          <w:lang w:val="es-ES_tradnl"/>
        </w:rPr>
        <w:lastRenderedPageBreak/>
        <w:t>En consecuencia, la fundamentación y motivación implica que, en el acto de autoridad, además de contenerse los supuestos jurídicos aplicables se expliquen claramente por qué a través de la utilización de la norma se emitió el acto. De este modo, la persona que se sienta afectada pueda impugnar la decisión, permitiéndole una real y auténtica defensa.</w:t>
      </w:r>
    </w:p>
    <w:p w:rsidR="00A22908" w:rsidRPr="00A22908" w:rsidRDefault="00A22908" w:rsidP="00A22908">
      <w:pPr>
        <w:pStyle w:val="Prrafodelista"/>
        <w:spacing w:after="0" w:line="360" w:lineRule="auto"/>
        <w:ind w:left="0"/>
        <w:jc w:val="both"/>
        <w:rPr>
          <w:rFonts w:ascii="Palatino Linotype" w:eastAsia="Calibri" w:hAnsi="Palatino Linotype" w:cs="Arial"/>
          <w:sz w:val="24"/>
          <w:szCs w:val="24"/>
          <w:lang w:val="es-ES_tradnl"/>
        </w:rPr>
      </w:pPr>
    </w:p>
    <w:p w:rsidR="00E6179D" w:rsidRPr="00427B79" w:rsidRDefault="00E6179D" w:rsidP="000921E9">
      <w:pPr>
        <w:numPr>
          <w:ilvl w:val="0"/>
          <w:numId w:val="1"/>
        </w:numPr>
        <w:spacing w:after="0"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 xml:space="preserve">Es de mencionar que </w:t>
      </w:r>
      <w:r w:rsidR="0083488C">
        <w:rPr>
          <w:rFonts w:ascii="Palatino Linotype" w:eastAsia="Calibri" w:hAnsi="Palatino Linotype" w:cs="Arial"/>
          <w:sz w:val="24"/>
          <w:szCs w:val="24"/>
        </w:rPr>
        <w:t>en caso de que el</w:t>
      </w:r>
      <w:r w:rsidRPr="00427B79">
        <w:rPr>
          <w:rFonts w:ascii="Palatino Linotype" w:eastAsia="Calibri" w:hAnsi="Palatino Linotype" w:cs="Arial"/>
          <w:sz w:val="24"/>
          <w:szCs w:val="24"/>
        </w:rPr>
        <w:t xml:space="preserve"> </w:t>
      </w:r>
      <w:r w:rsidRPr="00427B79">
        <w:rPr>
          <w:rFonts w:ascii="Palatino Linotype" w:eastAsia="Calibri" w:hAnsi="Palatino Linotype" w:cs="Arial"/>
          <w:b/>
          <w:sz w:val="24"/>
          <w:szCs w:val="24"/>
        </w:rPr>
        <w:t>SUJETO OBLIGADO</w:t>
      </w:r>
      <w:r w:rsidRPr="00427B79">
        <w:rPr>
          <w:rFonts w:ascii="Palatino Linotype" w:eastAsia="Calibri" w:hAnsi="Palatino Linotype" w:cs="Arial"/>
          <w:sz w:val="24"/>
          <w:szCs w:val="24"/>
        </w:rPr>
        <w:t xml:space="preserve">, no </w:t>
      </w:r>
      <w:r w:rsidR="0083488C">
        <w:rPr>
          <w:rFonts w:ascii="Palatino Linotype" w:eastAsia="Calibri" w:hAnsi="Palatino Linotype" w:cs="Arial"/>
          <w:sz w:val="24"/>
          <w:szCs w:val="24"/>
        </w:rPr>
        <w:t xml:space="preserve">contara </w:t>
      </w:r>
      <w:r w:rsidRPr="00427B79">
        <w:rPr>
          <w:rFonts w:ascii="Palatino Linotype" w:eastAsia="Calibri" w:hAnsi="Palatino Linotype" w:cs="Arial"/>
          <w:sz w:val="24"/>
          <w:szCs w:val="24"/>
        </w:rPr>
        <w:t>con la información solicitada</w:t>
      </w:r>
      <w:r w:rsidR="0083488C">
        <w:rPr>
          <w:rFonts w:ascii="Palatino Linotype" w:eastAsia="Calibri" w:hAnsi="Palatino Linotype" w:cs="Arial"/>
          <w:sz w:val="24"/>
          <w:szCs w:val="24"/>
        </w:rPr>
        <w:t xml:space="preserve"> por no encontrarse dentro de sus </w:t>
      </w:r>
      <w:r w:rsidR="0083488C" w:rsidRPr="0083488C">
        <w:rPr>
          <w:rFonts w:ascii="Palatino Linotype" w:hAnsi="Palatino Linotype"/>
          <w:sz w:val="24"/>
          <w:szCs w:val="24"/>
        </w:rPr>
        <w:t>facultades, competencias o funcione</w:t>
      </w:r>
      <w:r w:rsidR="0083488C">
        <w:rPr>
          <w:rFonts w:ascii="Palatino Linotype" w:eastAsia="Calibri" w:hAnsi="Palatino Linotype" w:cs="Arial"/>
          <w:sz w:val="24"/>
          <w:szCs w:val="24"/>
        </w:rPr>
        <w:t>s</w:t>
      </w:r>
      <w:r w:rsidRPr="00427B79">
        <w:rPr>
          <w:rFonts w:ascii="Palatino Linotype" w:eastAsia="Calibri" w:hAnsi="Palatino Linotype" w:cs="Arial"/>
          <w:sz w:val="24"/>
          <w:szCs w:val="24"/>
        </w:rPr>
        <w:t xml:space="preserve">, </w:t>
      </w:r>
      <w:r w:rsidR="0083488C">
        <w:rPr>
          <w:rFonts w:ascii="Palatino Linotype" w:eastAsia="Calibri" w:hAnsi="Palatino Linotype" w:cs="Arial"/>
          <w:sz w:val="24"/>
          <w:szCs w:val="24"/>
        </w:rPr>
        <w:t>deberá demostrarlo de manera fundada y motivada</w:t>
      </w:r>
      <w:r w:rsidRPr="00427B79">
        <w:rPr>
          <w:rFonts w:ascii="Palatino Linotype" w:eastAsia="Calibri" w:hAnsi="Palatino Linotype" w:cs="Arial"/>
          <w:sz w:val="24"/>
          <w:szCs w:val="24"/>
        </w:rPr>
        <w:t xml:space="preserve">, </w:t>
      </w:r>
      <w:r w:rsidR="0083488C">
        <w:rPr>
          <w:rFonts w:ascii="Palatino Linotype" w:eastAsia="Calibri" w:hAnsi="Palatino Linotype" w:cs="Arial"/>
          <w:sz w:val="24"/>
          <w:szCs w:val="24"/>
        </w:rPr>
        <w:t>de acuerdo a</w:t>
      </w:r>
      <w:r w:rsidRPr="00427B79">
        <w:rPr>
          <w:rFonts w:ascii="Palatino Linotype" w:eastAsia="Calibri" w:hAnsi="Palatino Linotype" w:cs="Arial"/>
          <w:sz w:val="24"/>
          <w:szCs w:val="24"/>
        </w:rPr>
        <w:t>l artículo 20 de la Ley de la materia</w:t>
      </w:r>
      <w:r w:rsidR="0083488C">
        <w:rPr>
          <w:rFonts w:ascii="Palatino Linotype" w:eastAsia="Calibri" w:hAnsi="Palatino Linotype" w:cs="Arial"/>
          <w:sz w:val="24"/>
          <w:szCs w:val="24"/>
        </w:rPr>
        <w:t>,</w:t>
      </w:r>
      <w:r w:rsidRPr="00427B79">
        <w:rPr>
          <w:rFonts w:ascii="Palatino Linotype" w:eastAsia="Calibri" w:hAnsi="Palatino Linotype" w:cs="Arial"/>
          <w:sz w:val="24"/>
          <w:szCs w:val="24"/>
        </w:rPr>
        <w:t xml:space="preserve"> el cual establece que:</w:t>
      </w:r>
    </w:p>
    <w:p w:rsidR="00E6179D" w:rsidRPr="00427B79" w:rsidRDefault="00E6179D" w:rsidP="00E6179D">
      <w:pPr>
        <w:spacing w:after="0" w:line="360" w:lineRule="auto"/>
        <w:contextualSpacing/>
        <w:jc w:val="both"/>
        <w:rPr>
          <w:b/>
          <w:bCs/>
          <w:sz w:val="24"/>
          <w:szCs w:val="24"/>
        </w:rPr>
      </w:pPr>
    </w:p>
    <w:p w:rsidR="00E6179D" w:rsidRPr="00427B79" w:rsidRDefault="00E6179D" w:rsidP="0083488C">
      <w:pPr>
        <w:spacing w:after="0" w:line="360" w:lineRule="auto"/>
        <w:ind w:left="567" w:right="616"/>
        <w:contextualSpacing/>
        <w:jc w:val="both"/>
        <w:rPr>
          <w:rFonts w:ascii="Palatino Linotype" w:eastAsia="Calibri" w:hAnsi="Palatino Linotype" w:cs="Arial"/>
          <w:i/>
          <w:sz w:val="24"/>
          <w:szCs w:val="24"/>
        </w:rPr>
      </w:pPr>
      <w:r w:rsidRPr="00427B79">
        <w:rPr>
          <w:rFonts w:ascii="Palatino Linotype" w:hAnsi="Palatino Linotype"/>
          <w:b/>
          <w:bCs/>
          <w:i/>
          <w:sz w:val="24"/>
          <w:szCs w:val="24"/>
        </w:rPr>
        <w:t xml:space="preserve">Artículo 20. </w:t>
      </w:r>
      <w:r w:rsidRPr="00427B79">
        <w:rPr>
          <w:rFonts w:ascii="Palatino Linotype" w:hAnsi="Palatino Linotype"/>
          <w:i/>
          <w:sz w:val="24"/>
          <w:szCs w:val="24"/>
        </w:rPr>
        <w:t xml:space="preserve">Ante la negativa del acceso a la información </w:t>
      </w:r>
      <w:r w:rsidRPr="00427B79">
        <w:rPr>
          <w:rFonts w:ascii="Palatino Linotype" w:hAnsi="Palatino Linotype"/>
          <w:b/>
          <w:i/>
          <w:sz w:val="24"/>
          <w:szCs w:val="24"/>
        </w:rPr>
        <w:t>o su inexistencia</w:t>
      </w:r>
      <w:r w:rsidRPr="00427B79">
        <w:rPr>
          <w:rFonts w:ascii="Palatino Linotype" w:hAnsi="Palatino Linotype"/>
          <w:i/>
          <w:sz w:val="24"/>
          <w:szCs w:val="24"/>
        </w:rPr>
        <w:t xml:space="preserve">, el sujeto obligado deberá demostrar que la información solicitada está prevista en alguna de las excepciones contenidas en esta Ley o, en su caso, </w:t>
      </w:r>
      <w:r w:rsidRPr="00427B79">
        <w:rPr>
          <w:rFonts w:ascii="Palatino Linotype" w:hAnsi="Palatino Linotype"/>
          <w:b/>
          <w:i/>
          <w:sz w:val="24"/>
          <w:szCs w:val="24"/>
        </w:rPr>
        <w:t>demostrar que la información no se refiere a alguna de sus facultades, competencias o funciones.</w:t>
      </w:r>
    </w:p>
    <w:p w:rsidR="00E6179D" w:rsidRPr="00427B79" w:rsidRDefault="00E6179D" w:rsidP="00E6179D">
      <w:pPr>
        <w:spacing w:after="0" w:line="360" w:lineRule="auto"/>
        <w:contextualSpacing/>
        <w:jc w:val="both"/>
        <w:rPr>
          <w:rFonts w:ascii="Palatino Linotype" w:eastAsia="Calibri" w:hAnsi="Palatino Linotype" w:cs="Arial"/>
          <w:sz w:val="24"/>
          <w:szCs w:val="24"/>
        </w:rPr>
      </w:pPr>
    </w:p>
    <w:p w:rsidR="00E6179D" w:rsidRPr="0083488C" w:rsidRDefault="00E6179D" w:rsidP="000921E9">
      <w:pPr>
        <w:numPr>
          <w:ilvl w:val="0"/>
          <w:numId w:val="1"/>
        </w:numPr>
        <w:spacing w:after="0" w:line="360" w:lineRule="auto"/>
        <w:ind w:left="0" w:firstLine="0"/>
        <w:contextualSpacing/>
        <w:jc w:val="both"/>
        <w:rPr>
          <w:rFonts w:ascii="Palatino Linotype" w:hAnsi="Palatino Linotype"/>
          <w:sz w:val="24"/>
          <w:szCs w:val="24"/>
        </w:rPr>
      </w:pPr>
      <w:r w:rsidRPr="0083488C">
        <w:rPr>
          <w:rFonts w:ascii="Palatino Linotype" w:eastAsia="Calibri" w:hAnsi="Palatino Linotype" w:cs="Arial"/>
          <w:sz w:val="24"/>
          <w:szCs w:val="24"/>
        </w:rPr>
        <w:t>Por lo anteriormente expuesto, se concluye que para los casos en que la información que el</w:t>
      </w:r>
      <w:r w:rsidR="0083488C">
        <w:rPr>
          <w:rFonts w:ascii="Palatino Linotype" w:eastAsia="Calibri" w:hAnsi="Palatino Linotype" w:cs="Arial"/>
          <w:sz w:val="24"/>
          <w:szCs w:val="24"/>
        </w:rPr>
        <w:t xml:space="preserve"> particular solicitó sea inexis</w:t>
      </w:r>
      <w:r w:rsidRPr="0083488C">
        <w:rPr>
          <w:rFonts w:ascii="Palatino Linotype" w:eastAsia="Calibri" w:hAnsi="Palatino Linotype" w:cs="Arial"/>
          <w:sz w:val="24"/>
          <w:szCs w:val="24"/>
        </w:rPr>
        <w:t xml:space="preserve">tente de acuerdo con el artículo 20 de la Ley, la autoridad debe informar al particular especificando los elementos </w:t>
      </w:r>
      <w:r w:rsidR="0083488C">
        <w:rPr>
          <w:rFonts w:ascii="Palatino Linotype" w:eastAsia="Calibri" w:hAnsi="Palatino Linotype" w:cs="Arial"/>
          <w:sz w:val="24"/>
          <w:szCs w:val="24"/>
        </w:rPr>
        <w:t>que le permitan tener la seguri</w:t>
      </w:r>
      <w:r w:rsidRPr="0083488C">
        <w:rPr>
          <w:rFonts w:ascii="Palatino Linotype" w:eastAsia="Calibri" w:hAnsi="Palatino Linotype" w:cs="Arial"/>
          <w:sz w:val="24"/>
          <w:szCs w:val="24"/>
        </w:rPr>
        <w:t>dad de que los criterios de búsqueda fu</w:t>
      </w:r>
      <w:r w:rsidR="0083488C">
        <w:rPr>
          <w:rFonts w:ascii="Palatino Linotype" w:eastAsia="Calibri" w:hAnsi="Palatino Linotype" w:cs="Arial"/>
          <w:sz w:val="24"/>
          <w:szCs w:val="24"/>
        </w:rPr>
        <w:t>eron exhaustivos, así como seña</w:t>
      </w:r>
      <w:r w:rsidRPr="0083488C">
        <w:rPr>
          <w:rFonts w:ascii="Palatino Linotype" w:eastAsia="Calibri" w:hAnsi="Palatino Linotype" w:cs="Arial"/>
          <w:sz w:val="24"/>
          <w:szCs w:val="24"/>
        </w:rPr>
        <w:t xml:space="preserve">lar detalladamente las circunstancias que generaron la inexistencia de la </w:t>
      </w:r>
      <w:r w:rsidRPr="0083488C">
        <w:rPr>
          <w:rFonts w:ascii="Palatino Linotype" w:eastAsia="Calibri" w:hAnsi="Palatino Linotype" w:cs="Arial"/>
          <w:sz w:val="24"/>
          <w:szCs w:val="24"/>
        </w:rPr>
        <w:lastRenderedPageBreak/>
        <w:t>información, de manera que la autoridad no puede únicamente informar al solicitante sobre la inexistencia de determinada información, sino que debe hacerse todo lo necesario para satisfacer el derecho reclamado por el particular.</w:t>
      </w:r>
    </w:p>
    <w:p w:rsidR="00E6179D" w:rsidRPr="00B73B30" w:rsidRDefault="00E6179D" w:rsidP="00E6179D">
      <w:pPr>
        <w:spacing w:after="0" w:line="360" w:lineRule="auto"/>
        <w:contextualSpacing/>
        <w:jc w:val="both"/>
        <w:rPr>
          <w:rFonts w:ascii="Palatino Linotype" w:hAnsi="Palatino Linotype"/>
          <w:sz w:val="24"/>
          <w:szCs w:val="24"/>
        </w:rPr>
      </w:pPr>
    </w:p>
    <w:p w:rsidR="00E6179D" w:rsidRPr="00B21F85" w:rsidRDefault="00E6179D" w:rsidP="000921E9">
      <w:pPr>
        <w:numPr>
          <w:ilvl w:val="0"/>
          <w:numId w:val="1"/>
        </w:numPr>
        <w:spacing w:after="0" w:line="360" w:lineRule="auto"/>
        <w:ind w:left="0" w:firstLine="0"/>
        <w:contextualSpacing/>
        <w:jc w:val="both"/>
        <w:rPr>
          <w:rFonts w:ascii="Palatino Linotype" w:hAnsi="Palatino Linotype"/>
          <w:sz w:val="24"/>
          <w:szCs w:val="24"/>
        </w:rPr>
      </w:pPr>
      <w:r w:rsidRPr="00B73B30">
        <w:rPr>
          <w:rFonts w:ascii="Palatino Linotype" w:eastAsia="Calibri" w:hAnsi="Palatino Linotype" w:cs="Arial"/>
          <w:sz w:val="24"/>
          <w:szCs w:val="24"/>
        </w:rPr>
        <w:t>T</w:t>
      </w:r>
      <w:r w:rsidRPr="00B73B30">
        <w:rPr>
          <w:rFonts w:ascii="Palatino Linotype" w:eastAsia="Calibri" w:hAnsi="Palatino Linotype"/>
          <w:sz w:val="24"/>
          <w:szCs w:val="24"/>
        </w:rPr>
        <w:t>al circunst</w:t>
      </w:r>
      <w:r w:rsidR="0083488C" w:rsidRPr="00B73B30">
        <w:rPr>
          <w:rFonts w:ascii="Palatino Linotype" w:eastAsia="Calibri" w:hAnsi="Palatino Linotype"/>
          <w:sz w:val="24"/>
          <w:szCs w:val="24"/>
        </w:rPr>
        <w:t>ancia no puede tener como resul</w:t>
      </w:r>
      <w:r w:rsidRPr="00B73B30">
        <w:rPr>
          <w:rFonts w:ascii="Palatino Linotype" w:eastAsia="Calibri" w:hAnsi="Palatino Linotype"/>
          <w:sz w:val="24"/>
          <w:szCs w:val="24"/>
        </w:rPr>
        <w:t>tado el simple pronunciamiento de la inexistencia de la información solicitada, sino por el contrario, en estos casos las autoridades deberán fundar y motivar las razones por las que no cuentan con la información ya sea porque no realizaron dichos actos o porque no se encuentran en el ámbito de sus atribuciones.</w:t>
      </w:r>
    </w:p>
    <w:p w:rsidR="00B21F85" w:rsidRDefault="00B21F85" w:rsidP="00B21F85">
      <w:pPr>
        <w:pStyle w:val="Prrafodelista"/>
        <w:rPr>
          <w:rFonts w:ascii="Palatino Linotype" w:hAnsi="Palatino Linotype"/>
          <w:sz w:val="24"/>
          <w:szCs w:val="24"/>
        </w:rPr>
      </w:pPr>
    </w:p>
    <w:p w:rsidR="00B21F85" w:rsidRDefault="00B21F85" w:rsidP="00B21F85">
      <w:pPr>
        <w:spacing w:after="0" w:line="360" w:lineRule="auto"/>
        <w:contextualSpacing/>
        <w:jc w:val="both"/>
        <w:rPr>
          <w:rFonts w:ascii="Palatino Linotype" w:hAnsi="Palatino Linotype"/>
          <w:sz w:val="24"/>
          <w:szCs w:val="24"/>
        </w:rPr>
      </w:pPr>
      <w:r>
        <w:rPr>
          <w:rFonts w:ascii="Palatino Linotype" w:hAnsi="Palatino Linotype"/>
          <w:sz w:val="24"/>
          <w:szCs w:val="24"/>
        </w:rPr>
        <w:t>V. Del artículo 19 de la ley de la materia.</w:t>
      </w:r>
    </w:p>
    <w:p w:rsidR="00B21F85" w:rsidRDefault="00B21F85" w:rsidP="00B21F85">
      <w:pPr>
        <w:spacing w:after="0" w:line="360" w:lineRule="auto"/>
        <w:contextualSpacing/>
        <w:jc w:val="both"/>
        <w:rPr>
          <w:rFonts w:ascii="Palatino Linotype" w:hAnsi="Palatino Linotype"/>
          <w:sz w:val="24"/>
          <w:szCs w:val="24"/>
        </w:rPr>
      </w:pPr>
    </w:p>
    <w:p w:rsidR="00B21F85" w:rsidRPr="00B21F85" w:rsidRDefault="00B21F85" w:rsidP="000921E9">
      <w:pPr>
        <w:pStyle w:val="Prrafodelista"/>
        <w:numPr>
          <w:ilvl w:val="0"/>
          <w:numId w:val="1"/>
        </w:numPr>
        <w:spacing w:after="0" w:line="360" w:lineRule="auto"/>
        <w:ind w:left="0" w:right="900" w:firstLine="0"/>
        <w:jc w:val="both"/>
        <w:rPr>
          <w:rFonts w:ascii="Palatino Linotype" w:hAnsi="Palatino Linotype"/>
          <w:sz w:val="24"/>
          <w:szCs w:val="24"/>
        </w:rPr>
      </w:pPr>
      <w:r w:rsidRPr="00B21F85">
        <w:rPr>
          <w:rFonts w:ascii="Palatino Linotype" w:hAnsi="Palatino Linotype"/>
          <w:sz w:val="24"/>
          <w:szCs w:val="24"/>
        </w:rPr>
        <w:t xml:space="preserve">Para poder comprender lo que la </w:t>
      </w:r>
      <w:r w:rsidRPr="00B21F85">
        <w:rPr>
          <w:rFonts w:ascii="Palatino Linotype" w:hAnsi="Palatino Linotype"/>
          <w:b/>
          <w:sz w:val="24"/>
          <w:szCs w:val="24"/>
        </w:rPr>
        <w:t>“presunción de la información”</w:t>
      </w:r>
      <w:r w:rsidRPr="00B21F85">
        <w:rPr>
          <w:rFonts w:ascii="Palatino Linotype" w:hAnsi="Palatino Linotype"/>
          <w:sz w:val="24"/>
          <w:szCs w:val="24"/>
        </w:rPr>
        <w:t xml:space="preserve"> implica, es necesario analizar lo establecido en el artículo 19 de la Ley de Transparencia y Acceso a la Información Pública del Estado de México y Municipios, que a la letra señala lo siguiente: </w:t>
      </w:r>
    </w:p>
    <w:p w:rsidR="00B21F85" w:rsidRDefault="00B21F85" w:rsidP="00B21F85">
      <w:pPr>
        <w:spacing w:after="0" w:line="360" w:lineRule="auto"/>
        <w:ind w:right="900"/>
        <w:jc w:val="both"/>
        <w:rPr>
          <w:rFonts w:ascii="Palatino Linotype" w:hAnsi="Palatino Linotype"/>
          <w:sz w:val="24"/>
          <w:szCs w:val="24"/>
        </w:rPr>
      </w:pPr>
    </w:p>
    <w:p w:rsidR="00B21F85" w:rsidRPr="003252A4" w:rsidRDefault="00B21F85" w:rsidP="00B21F85">
      <w:pPr>
        <w:spacing w:line="360" w:lineRule="auto"/>
        <w:ind w:left="567" w:right="900"/>
        <w:jc w:val="both"/>
        <w:rPr>
          <w:rFonts w:ascii="Palatino Linotype" w:hAnsi="Palatino Linotype"/>
          <w:i/>
          <w:sz w:val="24"/>
          <w:szCs w:val="24"/>
        </w:rPr>
      </w:pPr>
      <w:r w:rsidRPr="003252A4">
        <w:rPr>
          <w:rFonts w:ascii="Palatino Linotype" w:hAnsi="Palatino Linotype"/>
          <w:i/>
          <w:sz w:val="24"/>
          <w:szCs w:val="24"/>
        </w:rPr>
        <w:t xml:space="preserve">“Artículo 19. Se presume que la información debe de existir si se refiere a las facultades, competencias y funciones que los ordenamientos jurídicos aplicables otorgan a los sujetos obligados. </w:t>
      </w:r>
    </w:p>
    <w:p w:rsidR="00B21F85" w:rsidRPr="003252A4" w:rsidRDefault="00B21F85" w:rsidP="00B21F85">
      <w:pPr>
        <w:spacing w:line="360" w:lineRule="auto"/>
        <w:ind w:left="567" w:right="900"/>
        <w:jc w:val="both"/>
        <w:rPr>
          <w:rFonts w:ascii="Palatino Linotype" w:hAnsi="Palatino Linotype"/>
          <w:i/>
          <w:sz w:val="24"/>
          <w:szCs w:val="24"/>
        </w:rPr>
      </w:pPr>
      <w:r w:rsidRPr="003252A4">
        <w:rPr>
          <w:rFonts w:ascii="Palatino Linotype" w:hAnsi="Palatino Linotype"/>
          <w:i/>
          <w:sz w:val="24"/>
          <w:szCs w:val="24"/>
        </w:rPr>
        <w:lastRenderedPageBreak/>
        <w:t xml:space="preserve">En los casos en que ciertas facultades, competencias o funciones no se hayan ejercido, se debe motivar la respuesta en función de las causas que motiven tal circunstancia. </w:t>
      </w:r>
    </w:p>
    <w:p w:rsidR="00B21F85" w:rsidRDefault="00B21F85" w:rsidP="00B21F85">
      <w:pPr>
        <w:spacing w:line="360" w:lineRule="auto"/>
        <w:ind w:left="567" w:right="900"/>
        <w:jc w:val="both"/>
        <w:rPr>
          <w:rFonts w:ascii="Palatino Linotype" w:hAnsi="Palatino Linotype"/>
          <w:i/>
          <w:sz w:val="24"/>
          <w:szCs w:val="24"/>
        </w:rPr>
      </w:pPr>
      <w:r w:rsidRPr="003252A4">
        <w:rPr>
          <w:rFonts w:ascii="Palatino Linotype" w:hAnsi="Palatino Linotype"/>
          <w:i/>
          <w:sz w:val="24"/>
          <w:szCs w:val="24"/>
        </w:rPr>
        <w:t xml:space="preserve">Si el sujeto obligado, en el ejercicio de sus atribuciones, debía generar poseer o administrar la información, pero ésta no se encuentra, el Comité de transparencia deberá emitir un acuerdo de inexistencia, debidamente fundado y motivado, en el que detalle las razones del por qué no obra en sus archivos”. </w:t>
      </w:r>
    </w:p>
    <w:p w:rsidR="00B21F85" w:rsidRPr="00D47DAC" w:rsidRDefault="00B21F85" w:rsidP="00B21F85">
      <w:pPr>
        <w:spacing w:after="0" w:line="360" w:lineRule="auto"/>
        <w:ind w:right="900"/>
        <w:jc w:val="both"/>
        <w:rPr>
          <w:rFonts w:ascii="Palatino Linotype" w:hAnsi="Palatino Linotype"/>
          <w:i/>
          <w:sz w:val="24"/>
          <w:szCs w:val="24"/>
        </w:rPr>
      </w:pPr>
    </w:p>
    <w:p w:rsidR="00B21F85" w:rsidRP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Derivado del artículo anterior y con la finalidad de entender la naturaleza del mismo, se procede a realizar un análisis deductivo, siendo que este es una estrategia de razonamiento que se emplea para deducir conclusiones lógicas a partir de una serie de premisas o principios y cuyo proceso de pensamiento va de lo general a lo particular, por lo que se desprende que el precepto legal citado, está compuesto por las siguientes hipótesis. </w:t>
      </w:r>
    </w:p>
    <w:p w:rsidR="00B21F85" w:rsidRDefault="00B21F85" w:rsidP="00B21F85">
      <w:pPr>
        <w:spacing w:after="0" w:line="360" w:lineRule="auto"/>
        <w:jc w:val="both"/>
        <w:rPr>
          <w:rFonts w:ascii="Palatino Linotype" w:hAnsi="Palatino Linotype"/>
          <w:sz w:val="24"/>
          <w:szCs w:val="24"/>
        </w:rPr>
      </w:pPr>
    </w:p>
    <w:p w:rsidR="00B21F85" w:rsidRDefault="00B21F85" w:rsidP="00B21F85">
      <w:pPr>
        <w:pStyle w:val="Prrafodelista"/>
        <w:numPr>
          <w:ilvl w:val="0"/>
          <w:numId w:val="28"/>
        </w:numPr>
        <w:spacing w:after="0" w:line="360" w:lineRule="auto"/>
        <w:ind w:left="426"/>
        <w:jc w:val="both"/>
        <w:rPr>
          <w:rFonts w:ascii="Palatino Linotype" w:hAnsi="Palatino Linotype"/>
          <w:sz w:val="24"/>
          <w:szCs w:val="24"/>
        </w:rPr>
      </w:pPr>
      <w:r w:rsidRPr="00450598">
        <w:rPr>
          <w:rFonts w:ascii="Palatino Linotype" w:hAnsi="Palatino Linotype"/>
          <w:b/>
          <w:sz w:val="24"/>
          <w:szCs w:val="24"/>
        </w:rPr>
        <w:t>Existencia y presunción implícita</w:t>
      </w:r>
      <w:r>
        <w:rPr>
          <w:rFonts w:ascii="Palatino Linotype" w:hAnsi="Palatino Linotype"/>
          <w:b/>
          <w:sz w:val="24"/>
          <w:szCs w:val="24"/>
        </w:rPr>
        <w:t xml:space="preserve"> o explícita de la información.</w:t>
      </w:r>
      <w:r>
        <w:rPr>
          <w:rFonts w:ascii="Palatino Linotype" w:hAnsi="Palatino Linotype"/>
          <w:sz w:val="24"/>
          <w:szCs w:val="24"/>
        </w:rPr>
        <w:t xml:space="preserve"> </w:t>
      </w:r>
    </w:p>
    <w:p w:rsidR="00B21F85" w:rsidRDefault="00B21F85" w:rsidP="00B21F85">
      <w:pPr>
        <w:pStyle w:val="Prrafodelista"/>
        <w:spacing w:after="0" w:line="360" w:lineRule="auto"/>
        <w:ind w:left="426"/>
        <w:jc w:val="both"/>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Pr>
          <w:rFonts w:ascii="Palatino Linotype" w:hAnsi="Palatino Linotype"/>
          <w:sz w:val="24"/>
          <w:szCs w:val="24"/>
        </w:rPr>
        <w:t>Esta hipótesis señala qu</w:t>
      </w:r>
      <w:r w:rsidRPr="00DA579B">
        <w:rPr>
          <w:rFonts w:ascii="Palatino Linotype" w:hAnsi="Palatino Linotype"/>
          <w:sz w:val="24"/>
          <w:szCs w:val="24"/>
        </w:rPr>
        <w:t xml:space="preserve">e </w:t>
      </w:r>
      <w:r>
        <w:rPr>
          <w:rFonts w:ascii="Palatino Linotype" w:hAnsi="Palatino Linotype"/>
          <w:sz w:val="24"/>
          <w:szCs w:val="24"/>
        </w:rPr>
        <w:t xml:space="preserve">se </w:t>
      </w:r>
      <w:r w:rsidRPr="00DA579B">
        <w:rPr>
          <w:rFonts w:ascii="Palatino Linotype" w:hAnsi="Palatino Linotype"/>
          <w:sz w:val="24"/>
          <w:szCs w:val="24"/>
        </w:rPr>
        <w:t xml:space="preserve">presume que la información debe de existir </w:t>
      </w:r>
      <w:r>
        <w:rPr>
          <w:rFonts w:ascii="Palatino Linotype" w:hAnsi="Palatino Linotype"/>
          <w:sz w:val="24"/>
          <w:szCs w:val="24"/>
        </w:rPr>
        <w:t xml:space="preserve">en archivos del </w:t>
      </w:r>
      <w:r w:rsidRPr="00DA579B">
        <w:rPr>
          <w:rFonts w:ascii="Palatino Linotype" w:hAnsi="Palatino Linotype"/>
          <w:b/>
          <w:sz w:val="24"/>
          <w:szCs w:val="24"/>
        </w:rPr>
        <w:t>SUJETO OBLIGADO</w:t>
      </w:r>
      <w:r>
        <w:rPr>
          <w:rFonts w:ascii="Palatino Linotype" w:hAnsi="Palatino Linotype"/>
          <w:sz w:val="24"/>
          <w:szCs w:val="24"/>
        </w:rPr>
        <w:t xml:space="preserve">, en razón de que éste tiene la obligación, facultad y/o competencia de generar la misma, para robustecer lo anterior se anexa el siguiente criterio; </w:t>
      </w:r>
    </w:p>
    <w:p w:rsidR="00B21F85" w:rsidRDefault="00B21F85" w:rsidP="00B21F85">
      <w:pPr>
        <w:pStyle w:val="Prrafodelista"/>
        <w:spacing w:after="0" w:line="360" w:lineRule="auto"/>
        <w:jc w:val="both"/>
        <w:rPr>
          <w:rFonts w:ascii="Palatino Linotype" w:hAnsi="Palatino Linotype"/>
          <w:sz w:val="24"/>
          <w:szCs w:val="24"/>
        </w:rPr>
      </w:pPr>
    </w:p>
    <w:p w:rsidR="00B21F85" w:rsidRPr="00450598" w:rsidRDefault="00B21F85" w:rsidP="00B21F85">
      <w:pPr>
        <w:pStyle w:val="Prrafodelista"/>
        <w:spacing w:after="0" w:line="360" w:lineRule="auto"/>
        <w:ind w:left="567" w:right="616"/>
        <w:jc w:val="both"/>
        <w:rPr>
          <w:rFonts w:ascii="Palatino Linotype" w:hAnsi="Palatino Linotype" w:cs="Arial"/>
          <w:sz w:val="24"/>
          <w:szCs w:val="24"/>
        </w:rPr>
      </w:pPr>
      <w:r w:rsidRPr="00450598">
        <w:rPr>
          <w:rFonts w:ascii="Palatino Linotype" w:hAnsi="Palatino Linotype" w:cs="Arial"/>
          <w:b/>
          <w:sz w:val="24"/>
          <w:szCs w:val="24"/>
        </w:rPr>
        <w:lastRenderedPageBreak/>
        <w:t>EXISTENCIA DE LA INFORMACIÓN PÚBLICA, PRESUNCIÓN IMPLÍCITA O EXPLÍCITA DE LA.</w:t>
      </w:r>
      <w:r w:rsidRPr="00450598">
        <w:rPr>
          <w:rFonts w:ascii="Palatino Linotype" w:hAnsi="Palatino Linotype" w:cs="Arial"/>
          <w:sz w:val="24"/>
          <w:szCs w:val="24"/>
        </w:rPr>
        <w:t xml:space="preserve"> La obligación constitucional de documentar todo acto que derive del ejercicio de las facultades, competencias o funciones de los Sujetos Obligados, encuentra expresión legal en los artículos 19 de la Ley General de Transparencia y de la Ley de Transparencia y Acceso a la Información Pública del Estado de México. Disposiciones que en su primer párrafo establecen que se presume la existencia de la información cuando ésta se encuentre relacionada con las facultades, competencias o funciones señaladas en la ley. Esta presunción puede ser explícita, cuando las disposiciones jurídicas expresamente señalan el tipo concreto de información, por ejemplo, cuando se establece la facultad de un sujeto obligado de </w:t>
      </w:r>
      <w:r w:rsidRPr="00450598">
        <w:rPr>
          <w:rFonts w:ascii="Palatino Linotype" w:hAnsi="Palatino Linotype" w:cs="Arial"/>
          <w:sz w:val="24"/>
          <w:szCs w:val="24"/>
          <w:u w:val="single"/>
        </w:rPr>
        <w:t>aprobar un presupuesto de egresos</w:t>
      </w:r>
      <w:r w:rsidRPr="00450598">
        <w:rPr>
          <w:rFonts w:ascii="Palatino Linotype" w:hAnsi="Palatino Linotype" w:cs="Arial"/>
          <w:sz w:val="24"/>
          <w:szCs w:val="24"/>
        </w:rPr>
        <w:t>; o implícita, cuando se infiere directa o indirectamente del propio texto normativo la existencia de la información, aun cuando ésta no se enuncie de manera precisa en la norma, por ejemplo, un decreto que sin crear a un sujeto obligado, le cambia el nombre, que de manera expresa no se encuentra enlistado en la primera fracción de los artículos que establecen las obligaciones de transparencia comunes pero que si forma parte del marco normativo aplicable.</w:t>
      </w:r>
    </w:p>
    <w:p w:rsidR="00B21F85" w:rsidRDefault="00B21F85" w:rsidP="00B21F85">
      <w:pPr>
        <w:pStyle w:val="Prrafodelista"/>
        <w:spacing w:line="360" w:lineRule="auto"/>
        <w:jc w:val="both"/>
        <w:rPr>
          <w:rFonts w:ascii="Palatino Linotype" w:hAnsi="Palatino Linotype"/>
          <w:sz w:val="24"/>
          <w:szCs w:val="24"/>
        </w:rPr>
      </w:pPr>
    </w:p>
    <w:p w:rsidR="00B21F85" w:rsidRPr="00DA579B" w:rsidRDefault="00B21F85" w:rsidP="00B21F85">
      <w:pPr>
        <w:pStyle w:val="Prrafodelista"/>
        <w:numPr>
          <w:ilvl w:val="0"/>
          <w:numId w:val="28"/>
        </w:numPr>
        <w:spacing w:line="360" w:lineRule="auto"/>
        <w:ind w:left="426" w:hanging="426"/>
        <w:jc w:val="both"/>
        <w:rPr>
          <w:rFonts w:ascii="Palatino Linotype" w:hAnsi="Palatino Linotype"/>
          <w:sz w:val="24"/>
          <w:szCs w:val="24"/>
        </w:rPr>
      </w:pPr>
      <w:r w:rsidRPr="00450598">
        <w:rPr>
          <w:rFonts w:ascii="Palatino Linotype" w:hAnsi="Palatino Linotype"/>
          <w:b/>
          <w:sz w:val="24"/>
          <w:szCs w:val="24"/>
        </w:rPr>
        <w:t>Inexistencia de la información, por la f</w:t>
      </w:r>
      <w:r>
        <w:rPr>
          <w:rFonts w:ascii="Palatino Linotype" w:hAnsi="Palatino Linotype"/>
          <w:b/>
          <w:sz w:val="24"/>
          <w:szCs w:val="24"/>
        </w:rPr>
        <w:t>alta de acción de un interesado.</w:t>
      </w:r>
    </w:p>
    <w:p w:rsidR="00B21F85" w:rsidRDefault="00B21F85" w:rsidP="000921E9">
      <w:pPr>
        <w:pStyle w:val="Prrafodelista"/>
        <w:numPr>
          <w:ilvl w:val="0"/>
          <w:numId w:val="1"/>
        </w:numPr>
        <w:spacing w:line="360" w:lineRule="auto"/>
        <w:ind w:left="0" w:firstLine="0"/>
        <w:jc w:val="both"/>
        <w:rPr>
          <w:rFonts w:ascii="Palatino Linotype" w:hAnsi="Palatino Linotype"/>
          <w:sz w:val="24"/>
          <w:szCs w:val="24"/>
        </w:rPr>
      </w:pPr>
      <w:r w:rsidRPr="00B21F85">
        <w:rPr>
          <w:rFonts w:ascii="Palatino Linotype" w:hAnsi="Palatino Linotype"/>
          <w:sz w:val="24"/>
          <w:szCs w:val="24"/>
        </w:rPr>
        <w:lastRenderedPageBreak/>
        <w:t xml:space="preserve">Esta hipótesis señala que para el caso de que el </w:t>
      </w:r>
      <w:r w:rsidRPr="00B21F85">
        <w:rPr>
          <w:rFonts w:ascii="Palatino Linotype" w:hAnsi="Palatino Linotype"/>
          <w:b/>
          <w:sz w:val="24"/>
          <w:szCs w:val="24"/>
        </w:rPr>
        <w:t>SUJETO OBLIGADO</w:t>
      </w:r>
      <w:r w:rsidRPr="00B21F85">
        <w:rPr>
          <w:rFonts w:ascii="Palatino Linotype" w:hAnsi="Palatino Linotype"/>
          <w:sz w:val="24"/>
          <w:szCs w:val="24"/>
        </w:rPr>
        <w:t xml:space="preserve"> no haya generado la información, en razón de que la autoridad responsable no se encontró en la exigencia de ejercer las facultades, competencias y atribuciones que la ley le confiere para generar información, ya que no existió particular alguno que realizara una solicitud de acceso a la información. </w:t>
      </w:r>
    </w:p>
    <w:p w:rsidR="00B21F85" w:rsidRDefault="00B21F85" w:rsidP="00B21F85">
      <w:pPr>
        <w:pStyle w:val="Prrafodelista"/>
        <w:spacing w:line="360" w:lineRule="auto"/>
        <w:ind w:left="0"/>
        <w:jc w:val="both"/>
        <w:rPr>
          <w:rFonts w:ascii="Palatino Linotype" w:hAnsi="Palatino Linotype"/>
          <w:sz w:val="24"/>
          <w:szCs w:val="24"/>
        </w:rPr>
      </w:pPr>
    </w:p>
    <w:p w:rsidR="00B21F85" w:rsidRPr="00B21F85" w:rsidRDefault="00B21F85" w:rsidP="000921E9">
      <w:pPr>
        <w:pStyle w:val="Prrafodelista"/>
        <w:numPr>
          <w:ilvl w:val="0"/>
          <w:numId w:val="1"/>
        </w:numPr>
        <w:spacing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Por lo anterior y si fuera el caso, el </w:t>
      </w:r>
      <w:r w:rsidRPr="00B21F85">
        <w:rPr>
          <w:rFonts w:ascii="Palatino Linotype" w:hAnsi="Palatino Linotype"/>
          <w:b/>
          <w:sz w:val="24"/>
          <w:szCs w:val="24"/>
        </w:rPr>
        <w:t>SUJETO OBLIGADO</w:t>
      </w:r>
      <w:r w:rsidRPr="00B21F85">
        <w:rPr>
          <w:rFonts w:ascii="Palatino Linotype" w:hAnsi="Palatino Linotype"/>
          <w:sz w:val="24"/>
          <w:szCs w:val="24"/>
        </w:rPr>
        <w:t xml:space="preserve">, deberá señalar de manera fundada y motivada las razones que lo llevaron a la falta de su generación, asimismo se anexa el siguiente criterio. </w:t>
      </w:r>
    </w:p>
    <w:p w:rsidR="00B21F85" w:rsidRPr="001C2A0E" w:rsidRDefault="00B21F85" w:rsidP="00B21F85">
      <w:pPr>
        <w:pStyle w:val="Prrafodelista"/>
        <w:spacing w:after="0" w:line="360" w:lineRule="auto"/>
        <w:ind w:left="426"/>
        <w:jc w:val="both"/>
        <w:rPr>
          <w:rFonts w:ascii="Palatino Linotype" w:hAnsi="Palatino Linotype"/>
          <w:sz w:val="24"/>
          <w:szCs w:val="24"/>
        </w:rPr>
      </w:pPr>
    </w:p>
    <w:p w:rsidR="00B21F85" w:rsidRDefault="00B21F85" w:rsidP="00B21F85">
      <w:pPr>
        <w:pStyle w:val="Prrafodelista"/>
        <w:spacing w:after="0" w:line="360" w:lineRule="auto"/>
        <w:ind w:left="567" w:right="616"/>
        <w:jc w:val="both"/>
        <w:rPr>
          <w:rFonts w:ascii="Palatino Linotype" w:hAnsi="Palatino Linotype" w:cs="Arial"/>
          <w:sz w:val="24"/>
          <w:szCs w:val="24"/>
        </w:rPr>
      </w:pPr>
      <w:r w:rsidRPr="00450598">
        <w:rPr>
          <w:rFonts w:ascii="Palatino Linotype" w:hAnsi="Palatino Linotype" w:cs="Arial"/>
          <w:b/>
          <w:sz w:val="24"/>
          <w:szCs w:val="24"/>
        </w:rPr>
        <w:t xml:space="preserve">INEXISTENCIA DE LA INFORMACIÓN, </w:t>
      </w:r>
      <w:r w:rsidRPr="00450598">
        <w:rPr>
          <w:rFonts w:ascii="Palatino Linotype" w:hAnsi="Palatino Linotype" w:cs="Arial"/>
          <w:b/>
          <w:sz w:val="24"/>
          <w:szCs w:val="24"/>
          <w:u w:val="single"/>
        </w:rPr>
        <w:t>SUPUESTOS</w:t>
      </w:r>
      <w:r w:rsidRPr="00450598">
        <w:rPr>
          <w:rFonts w:ascii="Palatino Linotype" w:hAnsi="Palatino Linotype" w:cs="Arial"/>
          <w:b/>
          <w:sz w:val="24"/>
          <w:szCs w:val="24"/>
        </w:rPr>
        <w:t xml:space="preserve"> PARA MANIFESTAR LA. </w:t>
      </w:r>
      <w:r w:rsidRPr="00450598">
        <w:rPr>
          <w:rFonts w:ascii="Palatino Linotype" w:hAnsi="Palatino Linotype" w:cs="Arial"/>
          <w:sz w:val="24"/>
          <w:szCs w:val="24"/>
        </w:rPr>
        <w:t>A</w:t>
      </w:r>
      <w:r w:rsidRPr="00450598">
        <w:rPr>
          <w:rFonts w:ascii="Palatino Linotype" w:hAnsi="Palatino Linotype" w:cs="Arial"/>
          <w:b/>
          <w:sz w:val="24"/>
          <w:szCs w:val="24"/>
        </w:rPr>
        <w:t xml:space="preserve"> </w:t>
      </w:r>
      <w:r w:rsidRPr="00450598">
        <w:rPr>
          <w:rFonts w:ascii="Palatino Linotype" w:hAnsi="Palatino Linotype" w:cs="Arial"/>
          <w:sz w:val="24"/>
          <w:szCs w:val="24"/>
        </w:rPr>
        <w:t xml:space="preserve">diferencia de la Ley General, la Ley de Transparencia y Acceso a la Información Pública del Estado de México establece, en su artículo 19, dos supuestos generales para proceder en el caso de información inexistente pero cuya existencia se presume por relacionarse con las facultades, competencias y funciones legales de los sujetos obligados. El primer supuesto, que corresponde a lo señalado en su segundo párrafo, alude a actos no realizados y contemplados en alguna hipótesis jurídica pero a) cuya realización dependa de que un tercero demande la emisión de un acto de autoridad, la expedición de una licencia, por ejemplo; b) de un acontecimiento de realización probable, la Cuenta Pública correspondiente a un ejercicio fiscal en curso, </w:t>
      </w:r>
      <w:r w:rsidRPr="00450598">
        <w:rPr>
          <w:rFonts w:ascii="Palatino Linotype" w:hAnsi="Palatino Linotype" w:cs="Arial"/>
          <w:sz w:val="24"/>
          <w:szCs w:val="24"/>
        </w:rPr>
        <w:lastRenderedPageBreak/>
        <w:t>por ejemplo; o, C) una facultad potestativa, la firma de convenio de colaboración, por ejemplo. En estos casos, el Sujeto Obligado, al emitir su respuesta o cumplir con una resolución emitida por éste órgano garante,  deberá manifestar, de manera precisa y clara, las razones que expliquen las causas por las que no se ha realizado el acto de autoridad y, en consecuencia, no se ha documentado decisión alguna.</w:t>
      </w:r>
    </w:p>
    <w:p w:rsidR="00B21F85" w:rsidRPr="00450598" w:rsidRDefault="00B21F85" w:rsidP="00B21F85">
      <w:pPr>
        <w:pStyle w:val="Prrafodelista"/>
        <w:spacing w:after="0" w:line="360" w:lineRule="auto"/>
        <w:ind w:left="567" w:right="616"/>
        <w:jc w:val="both"/>
        <w:rPr>
          <w:rFonts w:ascii="Palatino Linotype" w:hAnsi="Palatino Linotype" w:cs="Arial"/>
          <w:sz w:val="24"/>
          <w:szCs w:val="24"/>
        </w:rPr>
      </w:pPr>
    </w:p>
    <w:p w:rsidR="00B21F85" w:rsidRDefault="00B21F85" w:rsidP="00B21F85">
      <w:pPr>
        <w:pStyle w:val="Prrafodelista"/>
        <w:numPr>
          <w:ilvl w:val="0"/>
          <w:numId w:val="28"/>
        </w:numPr>
        <w:spacing w:after="0" w:line="360" w:lineRule="auto"/>
        <w:ind w:left="426" w:hanging="426"/>
        <w:jc w:val="both"/>
        <w:rPr>
          <w:rFonts w:ascii="Palatino Linotype" w:hAnsi="Palatino Linotype"/>
          <w:sz w:val="24"/>
          <w:szCs w:val="24"/>
        </w:rPr>
      </w:pPr>
      <w:r w:rsidRPr="00450598">
        <w:rPr>
          <w:rFonts w:ascii="Palatino Linotype" w:hAnsi="Palatino Linotype"/>
          <w:b/>
          <w:sz w:val="24"/>
          <w:szCs w:val="24"/>
        </w:rPr>
        <w:t>Inexistencia de la información, por incumplimiento de obligación o circunstancias ajenas al SUJETO OBLIGADO</w:t>
      </w:r>
      <w:r>
        <w:rPr>
          <w:rFonts w:ascii="Palatino Linotype" w:hAnsi="Palatino Linotype"/>
          <w:sz w:val="24"/>
          <w:szCs w:val="24"/>
        </w:rPr>
        <w:t>.</w:t>
      </w:r>
    </w:p>
    <w:p w:rsidR="00B21F85" w:rsidRDefault="00B21F85" w:rsidP="00B21F85">
      <w:pPr>
        <w:pStyle w:val="Prrafodelista"/>
        <w:spacing w:after="0" w:line="360" w:lineRule="auto"/>
        <w:ind w:left="426"/>
        <w:jc w:val="both"/>
        <w:rPr>
          <w:rFonts w:ascii="Palatino Linotype" w:hAnsi="Palatino Linotype"/>
          <w:sz w:val="24"/>
          <w:szCs w:val="24"/>
        </w:rPr>
      </w:pPr>
    </w:p>
    <w:p w:rsidR="00B21F85" w:rsidRP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Esta hipótesis prevé que el </w:t>
      </w:r>
      <w:r w:rsidRPr="00B21F85">
        <w:rPr>
          <w:rFonts w:ascii="Palatino Linotype" w:hAnsi="Palatino Linotype"/>
          <w:b/>
          <w:sz w:val="24"/>
          <w:szCs w:val="24"/>
        </w:rPr>
        <w:t>SUJETO OBLIGADO</w:t>
      </w:r>
      <w:r w:rsidRPr="00B21F85">
        <w:rPr>
          <w:rFonts w:ascii="Palatino Linotype" w:hAnsi="Palatino Linotype"/>
          <w:sz w:val="24"/>
          <w:szCs w:val="24"/>
        </w:rPr>
        <w:t xml:space="preserve"> sí debió generar la información solicitada, en razón de que es una de sus facultades, atribuciones y competencias, pero no lo hizo, o bien si fue generada poseída y/o administrada por el mismo, pero ya no obra en sus archivos, en consecuencia y en ambos casos, la autoridad responsable deberá manifestar de manera fundada y motivada las razones que expliquen las causas que llevaron ante tal situación -se anexa el siguiente criterio-. </w:t>
      </w:r>
    </w:p>
    <w:p w:rsidR="00B21F85" w:rsidRPr="00450598" w:rsidRDefault="00B21F85" w:rsidP="00B21F85">
      <w:pPr>
        <w:pStyle w:val="Prrafodelista"/>
        <w:spacing w:after="0" w:line="360" w:lineRule="auto"/>
        <w:jc w:val="both"/>
        <w:rPr>
          <w:rFonts w:ascii="Palatino Linotype" w:hAnsi="Palatino Linotype"/>
          <w:sz w:val="24"/>
          <w:szCs w:val="24"/>
        </w:rPr>
      </w:pPr>
    </w:p>
    <w:p w:rsidR="00B21F85" w:rsidRDefault="00B21F85" w:rsidP="00B21F85">
      <w:pPr>
        <w:spacing w:after="0" w:line="360" w:lineRule="auto"/>
        <w:ind w:left="567" w:right="616"/>
        <w:jc w:val="both"/>
        <w:rPr>
          <w:rFonts w:ascii="Palatino Linotype" w:hAnsi="Palatino Linotype" w:cs="Arial"/>
          <w:sz w:val="24"/>
          <w:szCs w:val="24"/>
        </w:rPr>
      </w:pPr>
      <w:r w:rsidRPr="00541925">
        <w:rPr>
          <w:rFonts w:ascii="Palatino Linotype" w:hAnsi="Palatino Linotype" w:cs="Arial"/>
          <w:b/>
          <w:sz w:val="24"/>
          <w:szCs w:val="24"/>
          <w:u w:val="single"/>
        </w:rPr>
        <w:t>INEXISTENCIA DE LA INFORMACIÓN,</w:t>
      </w:r>
      <w:r w:rsidRPr="00541925">
        <w:rPr>
          <w:rFonts w:ascii="Palatino Linotype" w:hAnsi="Palatino Linotype" w:cs="Arial"/>
          <w:b/>
          <w:sz w:val="24"/>
          <w:szCs w:val="24"/>
        </w:rPr>
        <w:t xml:space="preserve"> SUPUESTOS PARA EMITIR LA RESOLUCIÓN DE LA.</w:t>
      </w:r>
      <w:r w:rsidRPr="00541925">
        <w:rPr>
          <w:rFonts w:ascii="Palatino Linotype" w:hAnsi="Palatino Linotype" w:cs="Arial"/>
          <w:sz w:val="24"/>
          <w:szCs w:val="24"/>
        </w:rPr>
        <w:t xml:space="preserve"> A diferencia de la Ley General, la Ley de Transparencia y Acceso a la Información Pública del Estado de México establece, en su artículo 19, dos supuestos generales para </w:t>
      </w:r>
      <w:r w:rsidRPr="00541925">
        <w:rPr>
          <w:rFonts w:ascii="Palatino Linotype" w:hAnsi="Palatino Linotype" w:cs="Arial"/>
          <w:sz w:val="24"/>
          <w:szCs w:val="24"/>
        </w:rPr>
        <w:lastRenderedPageBreak/>
        <w:t xml:space="preserve">proceder en el caso de información inexistente pero cuya existencia se presume por relacionarse con las facultades, competencias y funciones legales de los sujetos obligados. El segundo supuesto, que corresponde a lo señalado en su último párrafo, alude a: 1.- Actos realizados sobre los cuales a) no se generó, poseyó o administró el documento que registre la información solicitada; </w:t>
      </w:r>
      <w:r w:rsidRPr="00541925">
        <w:rPr>
          <w:rFonts w:ascii="Palatino Linotype" w:hAnsi="Palatino Linotype" w:cs="Arial"/>
          <w:b/>
          <w:sz w:val="24"/>
          <w:szCs w:val="24"/>
        </w:rPr>
        <w:t>b) habiendo sido generada, poseída o administrada, no se cuenta con la información solicitada</w:t>
      </w:r>
      <w:r w:rsidRPr="00541925">
        <w:rPr>
          <w:rFonts w:ascii="Palatino Linotype" w:hAnsi="Palatino Linotype" w:cs="Arial"/>
          <w:sz w:val="24"/>
          <w:szCs w:val="24"/>
        </w:rPr>
        <w:t xml:space="preserve">; o bien, 2.- El sujeto obligado fue omiso en el ejercicio de una facultad, competencia o atribución inexcusable. En estos casos, será necesario acreditar que se cumplieron los supuestos del artículo 169 del citado ordenamiento y emitir la resolución que confirme la inexistencia cumpliendo con las formalidades señaladas en el artículo 170 de la misma norma. </w:t>
      </w:r>
    </w:p>
    <w:p w:rsidR="00B21F85" w:rsidRPr="00541925" w:rsidRDefault="00B21F85" w:rsidP="00B21F85">
      <w:pPr>
        <w:spacing w:after="0" w:line="360" w:lineRule="auto"/>
        <w:ind w:right="616"/>
        <w:jc w:val="both"/>
        <w:rPr>
          <w:rFonts w:ascii="Palatino Linotype" w:hAnsi="Palatino Linotype" w:cs="Arial"/>
          <w:sz w:val="24"/>
          <w:szCs w:val="24"/>
        </w:rPr>
      </w:pPr>
    </w:p>
    <w:p w:rsidR="00B21F85" w:rsidRDefault="00B21F85" w:rsidP="00B21F85">
      <w:pPr>
        <w:spacing w:after="0" w:line="360" w:lineRule="auto"/>
        <w:jc w:val="both"/>
        <w:rPr>
          <w:rFonts w:ascii="Palatino Linotype" w:eastAsia="Calibri" w:hAnsi="Palatino Linotype" w:cs="Times New Roman"/>
          <w:sz w:val="24"/>
          <w:szCs w:val="24"/>
          <w:highlight w:val="yellow"/>
          <w:lang w:val="es-ES" w:eastAsia="es-ES"/>
        </w:rPr>
      </w:pPr>
    </w:p>
    <w:p w:rsidR="00B21F85" w:rsidRPr="00F16264" w:rsidRDefault="00B21F85" w:rsidP="00B21F85">
      <w:pPr>
        <w:pStyle w:val="Prrafodelista"/>
        <w:numPr>
          <w:ilvl w:val="0"/>
          <w:numId w:val="29"/>
        </w:numPr>
        <w:spacing w:after="0" w:line="360" w:lineRule="auto"/>
        <w:ind w:left="426" w:hanging="426"/>
        <w:jc w:val="both"/>
        <w:rPr>
          <w:rFonts w:ascii="Palatino Linotype" w:eastAsia="Calibri" w:hAnsi="Palatino Linotype" w:cs="Times New Roman"/>
          <w:sz w:val="24"/>
          <w:szCs w:val="24"/>
          <w:lang w:val="es-ES" w:eastAsia="es-ES"/>
        </w:rPr>
      </w:pPr>
      <w:r w:rsidRPr="00450598">
        <w:rPr>
          <w:rFonts w:ascii="Palatino Linotype" w:hAnsi="Palatino Linotype"/>
          <w:b/>
          <w:sz w:val="24"/>
          <w:szCs w:val="24"/>
        </w:rPr>
        <w:t>Existencia de la información y presunción implícita</w:t>
      </w:r>
      <w:r>
        <w:rPr>
          <w:rFonts w:ascii="Palatino Linotype" w:hAnsi="Palatino Linotype"/>
          <w:b/>
          <w:sz w:val="24"/>
          <w:szCs w:val="24"/>
        </w:rPr>
        <w:t>.</w:t>
      </w:r>
    </w:p>
    <w:p w:rsidR="00B21F85" w:rsidRPr="00F16264" w:rsidRDefault="00B21F85" w:rsidP="00B21F85">
      <w:pPr>
        <w:pStyle w:val="Prrafodelista"/>
        <w:spacing w:after="0" w:line="360" w:lineRule="auto"/>
        <w:ind w:left="426"/>
        <w:jc w:val="both"/>
        <w:rPr>
          <w:rFonts w:ascii="Palatino Linotype" w:eastAsia="Calibri" w:hAnsi="Palatino Linotype" w:cs="Times New Roman"/>
          <w:sz w:val="24"/>
          <w:szCs w:val="24"/>
          <w:lang w:val="es-ES" w:eastAsia="es-ES"/>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En principio, el término presunción se deriva de la voz latina </w:t>
      </w:r>
      <w:r w:rsidRPr="00B21F85">
        <w:rPr>
          <w:rFonts w:ascii="Palatino Linotype" w:hAnsi="Palatino Linotype"/>
          <w:i/>
          <w:sz w:val="24"/>
          <w:szCs w:val="24"/>
        </w:rPr>
        <w:t>“prae-sumere”,</w:t>
      </w:r>
      <w:r w:rsidRPr="00B21F85">
        <w:rPr>
          <w:rFonts w:ascii="Palatino Linotype" w:hAnsi="Palatino Linotype"/>
          <w:sz w:val="24"/>
          <w:szCs w:val="24"/>
        </w:rPr>
        <w:t xml:space="preserve"> que significa; </w:t>
      </w:r>
      <w:r w:rsidRPr="00B21F85">
        <w:rPr>
          <w:rFonts w:ascii="Palatino Linotype" w:hAnsi="Palatino Linotype"/>
          <w:i/>
          <w:sz w:val="24"/>
          <w:szCs w:val="24"/>
        </w:rPr>
        <w:t xml:space="preserve">resolver de antemano, anticipar, tomar una cosa cierta sin que esté probada o conjeturar. </w:t>
      </w:r>
      <w:r w:rsidRPr="00B21F85">
        <w:rPr>
          <w:rFonts w:ascii="Palatino Linotype" w:hAnsi="Palatino Linotype"/>
          <w:sz w:val="24"/>
          <w:szCs w:val="24"/>
        </w:rPr>
        <w:t xml:space="preserve">En relación con el conocimiento, aquel que “presume” es quien toma anticipadamente como sabido aquello que desconoce. Se puede decir que la presunción equivale a suponer una cosa cierta sin que esta esté probada. </w:t>
      </w:r>
    </w:p>
    <w:p w:rsidR="00B21F85" w:rsidRP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lastRenderedPageBreak/>
        <w:t xml:space="preserve">Ahora bien, la presunción es una conjetura probable sobre una cosa incierta, puede ser de derecho cuando la determina la ley, o de hombre, si proviene de un razonamiento de un juez o de una autoridad, de acuerdo con el Código de Procedimientos Administrativos del Estado de México, señala en su artículo 88 que: </w:t>
      </w:r>
    </w:p>
    <w:p w:rsidR="00B21F85" w:rsidRDefault="00B21F85" w:rsidP="00B21F85">
      <w:pPr>
        <w:spacing w:after="0" w:line="360" w:lineRule="auto"/>
        <w:jc w:val="both"/>
        <w:rPr>
          <w:rFonts w:ascii="Palatino Linotype" w:hAnsi="Palatino Linotype"/>
          <w:sz w:val="24"/>
          <w:szCs w:val="24"/>
        </w:rPr>
      </w:pPr>
    </w:p>
    <w:p w:rsidR="00B21F85" w:rsidRPr="00F16264" w:rsidRDefault="00B21F85" w:rsidP="00B21F85">
      <w:pPr>
        <w:spacing w:after="0" w:line="360" w:lineRule="auto"/>
        <w:ind w:left="567" w:right="616"/>
        <w:jc w:val="both"/>
        <w:rPr>
          <w:rFonts w:ascii="Palatino Linotype" w:hAnsi="Palatino Linotype"/>
          <w:i/>
          <w:sz w:val="24"/>
          <w:szCs w:val="24"/>
        </w:rPr>
      </w:pPr>
      <w:r>
        <w:rPr>
          <w:rFonts w:ascii="Palatino Linotype" w:hAnsi="Palatino Linotype"/>
          <w:i/>
          <w:sz w:val="24"/>
          <w:szCs w:val="24"/>
        </w:rPr>
        <w:t>“</w:t>
      </w:r>
      <w:r w:rsidRPr="00F16264">
        <w:rPr>
          <w:rFonts w:ascii="Palatino Linotype" w:hAnsi="Palatino Linotype"/>
          <w:i/>
          <w:sz w:val="24"/>
          <w:szCs w:val="24"/>
        </w:rPr>
        <w:t xml:space="preserve">Artículo 88. La </w:t>
      </w:r>
      <w:r w:rsidRPr="00722024">
        <w:rPr>
          <w:rFonts w:ascii="Palatino Linotype" w:hAnsi="Palatino Linotype"/>
          <w:b/>
          <w:i/>
          <w:sz w:val="24"/>
          <w:szCs w:val="24"/>
        </w:rPr>
        <w:t>presunción es la consecuencia</w:t>
      </w:r>
      <w:r w:rsidRPr="00F16264">
        <w:rPr>
          <w:rFonts w:ascii="Palatino Linotype" w:hAnsi="Palatino Linotype"/>
          <w:i/>
          <w:sz w:val="24"/>
          <w:szCs w:val="24"/>
        </w:rPr>
        <w:t xml:space="preserve"> que la ley, autoridad administrativa o el tribunal </w:t>
      </w:r>
      <w:r w:rsidRPr="00722024">
        <w:rPr>
          <w:rFonts w:ascii="Palatino Linotype" w:hAnsi="Palatino Linotype"/>
          <w:b/>
          <w:i/>
          <w:sz w:val="24"/>
          <w:szCs w:val="24"/>
        </w:rPr>
        <w:t>deducen de un hecho conocido para averiguar la verdad de otro desconocido</w:t>
      </w:r>
      <w:r w:rsidRPr="00F16264">
        <w:rPr>
          <w:rFonts w:ascii="Palatino Linotype" w:hAnsi="Palatino Linotype"/>
          <w:i/>
          <w:sz w:val="24"/>
          <w:szCs w:val="24"/>
        </w:rPr>
        <w:t xml:space="preserve">; la primera se llama legal y la segunda humana. </w:t>
      </w:r>
    </w:p>
    <w:p w:rsidR="00B21F85" w:rsidRDefault="00B21F85" w:rsidP="00B21F85">
      <w:pPr>
        <w:spacing w:after="0" w:line="360" w:lineRule="auto"/>
        <w:ind w:left="567" w:right="616"/>
        <w:jc w:val="both"/>
        <w:rPr>
          <w:rFonts w:ascii="Palatino Linotype" w:hAnsi="Palatino Linotype"/>
          <w:i/>
          <w:sz w:val="24"/>
          <w:szCs w:val="24"/>
        </w:rPr>
      </w:pPr>
      <w:r w:rsidRPr="00F16264">
        <w:rPr>
          <w:rFonts w:ascii="Palatino Linotype" w:hAnsi="Palatino Linotype"/>
          <w:i/>
          <w:sz w:val="24"/>
          <w:szCs w:val="24"/>
        </w:rPr>
        <w:t>Hay presunción legal cuando la ley la establece expresamente. Hay presunción humana cunado de un hecho debidamente probado se deduce otro que es c</w:t>
      </w:r>
      <w:r>
        <w:rPr>
          <w:rFonts w:ascii="Palatino Linotype" w:hAnsi="Palatino Linotype"/>
          <w:i/>
          <w:sz w:val="24"/>
          <w:szCs w:val="24"/>
        </w:rPr>
        <w:t xml:space="preserve">onsecuencia ordinaria de aquel”. </w:t>
      </w:r>
    </w:p>
    <w:p w:rsidR="00B21F85" w:rsidRPr="00F16264" w:rsidRDefault="00B21F85" w:rsidP="00B21F85">
      <w:pPr>
        <w:spacing w:after="0" w:line="360" w:lineRule="auto"/>
        <w:ind w:left="567" w:right="616"/>
        <w:jc w:val="both"/>
        <w:rPr>
          <w:rFonts w:ascii="Palatino Linotype" w:hAnsi="Palatino Linotype"/>
          <w:i/>
          <w:sz w:val="24"/>
          <w:szCs w:val="24"/>
        </w:rPr>
      </w:pPr>
    </w:p>
    <w:p w:rsidR="00B21F85" w:rsidRP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Hablando en términos de efectos procesales; la doctrina norteamericana expresa que:</w:t>
      </w:r>
    </w:p>
    <w:p w:rsidR="00B21F85" w:rsidRDefault="00B21F85" w:rsidP="00B21F85">
      <w:pPr>
        <w:spacing w:after="0" w:line="360" w:lineRule="auto"/>
        <w:ind w:left="567" w:right="616"/>
        <w:jc w:val="both"/>
        <w:rPr>
          <w:rFonts w:ascii="Palatino Linotype" w:hAnsi="Palatino Linotype"/>
          <w:sz w:val="24"/>
          <w:szCs w:val="24"/>
        </w:rPr>
      </w:pPr>
      <w:r w:rsidRPr="00F16264">
        <w:rPr>
          <w:rFonts w:ascii="Palatino Linotype" w:hAnsi="Palatino Linotype"/>
          <w:i/>
          <w:sz w:val="24"/>
          <w:szCs w:val="24"/>
        </w:rPr>
        <w:t>“Así como las cargas de la prueba están algunas veces situadas por razones de equidad, algunas presunciones están creadas para corregir un desequilibrio resultante del mayor acceso que tiene a la prueba una de las partes”.</w:t>
      </w:r>
      <w:r w:rsidRPr="00F16264">
        <w:rPr>
          <w:rFonts w:ascii="Palatino Linotype" w:hAnsi="Palatino Linotype"/>
          <w:sz w:val="24"/>
          <w:szCs w:val="24"/>
        </w:rPr>
        <w:t xml:space="preserve"> </w:t>
      </w:r>
    </w:p>
    <w:p w:rsidR="00B21F85" w:rsidRDefault="00B21F85" w:rsidP="00B21F85">
      <w:pPr>
        <w:spacing w:after="0" w:line="360" w:lineRule="auto"/>
        <w:jc w:val="both"/>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Es decir, en algunos procedimientos jurídicos y en diversas situaciones, la parte demandada y la parte actora, se encuentran en el mismo plano de obligación de presentar las pruebas para corroborar los hechos a los que aluden, sin embargo, en casos específicos, nos confrontamos a que las pruebas son más accesibles para </w:t>
      </w:r>
      <w:r w:rsidRPr="00B21F85">
        <w:rPr>
          <w:rFonts w:ascii="Palatino Linotype" w:hAnsi="Palatino Linotype"/>
          <w:sz w:val="24"/>
          <w:szCs w:val="24"/>
        </w:rPr>
        <w:lastRenderedPageBreak/>
        <w:t>una de las partes, generando con ello un estado de desequilibrio probatorio, y ante este nace la figura de la presunción.</w:t>
      </w:r>
    </w:p>
    <w:p w:rsidR="00B21F85" w:rsidRDefault="00B21F85" w:rsidP="00B21F85">
      <w:pPr>
        <w:pStyle w:val="Prrafodelista"/>
        <w:spacing w:after="0" w:line="360" w:lineRule="auto"/>
        <w:ind w:left="0"/>
        <w:jc w:val="both"/>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Parra Quijano</w:t>
      </w:r>
      <w:r>
        <w:rPr>
          <w:rStyle w:val="Refdenotaalpie"/>
          <w:rFonts w:ascii="Palatino Linotype" w:hAnsi="Palatino Linotype"/>
          <w:sz w:val="24"/>
          <w:szCs w:val="24"/>
        </w:rPr>
        <w:footnoteReference w:id="1"/>
      </w:r>
      <w:r w:rsidRPr="00B21F85">
        <w:rPr>
          <w:rFonts w:ascii="Palatino Linotype" w:hAnsi="Palatino Linotype"/>
          <w:sz w:val="24"/>
          <w:szCs w:val="24"/>
        </w:rPr>
        <w:t xml:space="preserve"> establece que las presunciones se originan por razones de equidad, debido a la dificultad de traer al proceso hechos de imposibilidad probatoria; no son hechos imposibles, sino hechos que son normales pero no hay medios probatorios para traerlos al proceso. </w:t>
      </w:r>
    </w:p>
    <w:p w:rsidR="00B21F85" w:rsidRPr="00B21F85" w:rsidRDefault="00B21F85" w:rsidP="00B21F85">
      <w:pPr>
        <w:pStyle w:val="Prrafodelista"/>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No se debe olvidar que la presunción se trata de la aplicación de métodos lógicos, reglas de experiencia y análisis de concordancia. Al sujeto que favorezca la presunción, no requiere probarla, basta que muestre el hecho base, por ejemplo;  La ley en materia civil, señala que “la posesión de una cosa hará presumir la tradición”, es decir, si se celebró un contrato de compraventa, y el comprador tiene en la actualidad la cosa objeto del contrato en su poder, la ley presume que el vendedor se la entregó y que dicha entrega materializó la tradición, es decir el hecho base es la posesión del  objeto.</w:t>
      </w:r>
    </w:p>
    <w:p w:rsidR="00B21F85" w:rsidRPr="00B21F85" w:rsidRDefault="00B21F85" w:rsidP="00B21F85">
      <w:pPr>
        <w:pStyle w:val="Prrafodelista"/>
        <w:rPr>
          <w:rFonts w:ascii="Palatino Linotype" w:hAnsi="Palatino Linotype"/>
          <w:sz w:val="24"/>
          <w:szCs w:val="24"/>
        </w:rPr>
      </w:pPr>
    </w:p>
    <w:p w:rsidR="00B21F85" w:rsidRP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En materia de transparencia, esta hipótesis se encuadra de la siguiente manera: </w:t>
      </w:r>
      <w:r>
        <w:rPr>
          <w:rFonts w:ascii="Palatino Linotype" w:hAnsi="Palatino Linotype"/>
          <w:sz w:val="24"/>
          <w:szCs w:val="24"/>
        </w:rPr>
        <w:t xml:space="preserve"> </w:t>
      </w:r>
      <w:r w:rsidRPr="00B21F85">
        <w:rPr>
          <w:rFonts w:ascii="Palatino Linotype" w:hAnsi="Palatino Linotype"/>
          <w:sz w:val="24"/>
          <w:szCs w:val="24"/>
        </w:rPr>
        <w:t xml:space="preserve">El hecho base es la facultad, la competencia y las funciones que la ley aplicable otorga a los sujetos obligados para generar la información, luego entonces, si la facultad, la competencia y las funciones de la autoridad, dan como resultado la </w:t>
      </w:r>
      <w:r w:rsidRPr="00B21F85">
        <w:rPr>
          <w:rFonts w:ascii="Palatino Linotype" w:hAnsi="Palatino Linotype"/>
          <w:sz w:val="24"/>
          <w:szCs w:val="24"/>
        </w:rPr>
        <w:lastRenderedPageBreak/>
        <w:t xml:space="preserve">generación de la información, se presupone que el </w:t>
      </w:r>
      <w:r w:rsidRPr="00B21F85">
        <w:rPr>
          <w:rFonts w:ascii="Palatino Linotype" w:hAnsi="Palatino Linotype"/>
          <w:b/>
          <w:sz w:val="24"/>
          <w:szCs w:val="24"/>
        </w:rPr>
        <w:t>SUJETO OBLIGADO</w:t>
      </w:r>
      <w:r w:rsidRPr="00B21F85">
        <w:rPr>
          <w:rFonts w:ascii="Palatino Linotype" w:hAnsi="Palatino Linotype"/>
          <w:sz w:val="24"/>
          <w:szCs w:val="24"/>
        </w:rPr>
        <w:t xml:space="preserve"> debe de poseer y administrar la misma, y por lo consecuencia, al poseer y administrar la información, éste debe de permitir su  acceso a través del Derecho de Acceso a la Información. </w:t>
      </w:r>
    </w:p>
    <w:p w:rsidR="00B21F85" w:rsidRDefault="00B21F85" w:rsidP="00B21F85">
      <w:pPr>
        <w:spacing w:after="0" w:line="360" w:lineRule="auto"/>
        <w:jc w:val="both"/>
        <w:rPr>
          <w:rFonts w:ascii="Palatino Linotype" w:hAnsi="Palatino Linotype"/>
          <w:sz w:val="24"/>
          <w:szCs w:val="24"/>
        </w:rPr>
      </w:pPr>
    </w:p>
    <w:p w:rsidR="00B21F85" w:rsidRPr="00801E18" w:rsidRDefault="00B21F85" w:rsidP="00B21F85">
      <w:pPr>
        <w:pStyle w:val="Prrafodelista"/>
        <w:numPr>
          <w:ilvl w:val="0"/>
          <w:numId w:val="29"/>
        </w:numPr>
        <w:spacing w:after="0" w:line="360" w:lineRule="auto"/>
        <w:ind w:left="426" w:hanging="426"/>
        <w:jc w:val="both"/>
        <w:rPr>
          <w:rFonts w:ascii="Palatino Linotype" w:hAnsi="Palatino Linotype"/>
          <w:sz w:val="24"/>
          <w:szCs w:val="24"/>
        </w:rPr>
      </w:pPr>
      <w:r w:rsidRPr="00450598">
        <w:rPr>
          <w:rFonts w:ascii="Palatino Linotype" w:hAnsi="Palatino Linotype"/>
          <w:b/>
          <w:sz w:val="24"/>
          <w:szCs w:val="24"/>
        </w:rPr>
        <w:t>Inexistencia de la información, por la falta de acción de un interesado</w:t>
      </w:r>
      <w:r>
        <w:rPr>
          <w:rFonts w:ascii="Palatino Linotype" w:hAnsi="Palatino Linotype"/>
          <w:b/>
          <w:sz w:val="24"/>
          <w:szCs w:val="24"/>
        </w:rPr>
        <w:t xml:space="preserve">. </w:t>
      </w:r>
    </w:p>
    <w:p w:rsidR="00B21F85" w:rsidRPr="00801E18" w:rsidRDefault="00B21F85" w:rsidP="00B21F85">
      <w:pPr>
        <w:pStyle w:val="Prrafodelista"/>
        <w:spacing w:after="0" w:line="360" w:lineRule="auto"/>
        <w:ind w:left="426"/>
        <w:jc w:val="both"/>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Respecto a la segunda hipótesis prevista en el artículo objeto del análisis, tenemos que posicionarnos desde una óptica procesal, por lo que es menester señalar y entender que el concepto de derecho tiene dos particulares puntos de vista; objetivos y subjetivos. </w:t>
      </w:r>
    </w:p>
    <w:p w:rsidR="00B21F85" w:rsidRDefault="00B21F85" w:rsidP="00B21F85">
      <w:pPr>
        <w:pStyle w:val="Prrafodelista"/>
        <w:spacing w:after="0" w:line="360" w:lineRule="auto"/>
        <w:ind w:left="0"/>
        <w:jc w:val="both"/>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En el primer caso, el derecho objetivo, es aquel conjunto de normas, leyes, costumbres, resoluciones judiciales y preceptos doctrinarios, en el segundo caso, el derecho subjetivo versa sobre las facultades que tienen las personas para actuar en la vida jurídica. </w:t>
      </w:r>
    </w:p>
    <w:p w:rsidR="00B21F85" w:rsidRPr="00B21F85" w:rsidRDefault="00B21F85" w:rsidP="00B21F85">
      <w:pPr>
        <w:pStyle w:val="Prrafodelista"/>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Es así que dentro del proceso, el derecho objetivo se va a entender como el precepto legal que contempla el quehacer de la autoridad, y por otro lado, el derecho subjetivo, es entendido como algo que se tiene o no se tiene, es decir “un derecho” y de la existencia de éste, se puede derivar una pretensión, la cual es concebida como un querer, una voluntad o una intención exteriorizada, para someter el interés ajeno </w:t>
      </w:r>
      <w:r w:rsidRPr="00B21F85">
        <w:rPr>
          <w:rFonts w:ascii="Palatino Linotype" w:hAnsi="Palatino Linotype"/>
          <w:sz w:val="24"/>
          <w:szCs w:val="24"/>
        </w:rPr>
        <w:lastRenderedPageBreak/>
        <w:t>al interés propio</w:t>
      </w:r>
      <w:r>
        <w:rPr>
          <w:rStyle w:val="Refdenotaalpie"/>
          <w:rFonts w:ascii="Palatino Linotype" w:hAnsi="Palatino Linotype"/>
          <w:sz w:val="24"/>
          <w:szCs w:val="24"/>
        </w:rPr>
        <w:footnoteReference w:id="2"/>
      </w:r>
      <w:r w:rsidRPr="00B21F85">
        <w:rPr>
          <w:rFonts w:ascii="Palatino Linotype" w:hAnsi="Palatino Linotype"/>
          <w:sz w:val="24"/>
          <w:szCs w:val="24"/>
        </w:rPr>
        <w:t xml:space="preserve">, luego entonces, de la existencia de la pretensión, se puede llegar a la acción como una de las formas de materializarla. </w:t>
      </w:r>
    </w:p>
    <w:p w:rsidR="00B21F85" w:rsidRPr="00B21F85" w:rsidRDefault="00B21F85" w:rsidP="00B21F85">
      <w:pPr>
        <w:pStyle w:val="Prrafodelista"/>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Entender la figura de la “acción” en términos procesales, es comprender que como regla fundamental no se entiende jurisdicción sin acción; esto es, que la justicia no se mueve si no hay quien la solicite. </w:t>
      </w:r>
    </w:p>
    <w:p w:rsidR="00B21F85" w:rsidRPr="00B21F85" w:rsidRDefault="00B21F85" w:rsidP="00B21F85">
      <w:pPr>
        <w:pStyle w:val="Prrafodelista"/>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En el caso concreto del derecho de acceso a la información, hablamos de la existencia de un derecho objetivo cuando existe un ordenamiento jurídico y/o precepto legal, que de origen a un derecho subjetivo. Es decir, distintos ordenamientos jurídicos, como; la Ley de Transparencia del Estado de México, prevé en sus artículos la facultad de los sujetos obligados de generar, poseer y administrar información y, cuya esencia es de interés público, luego entonces, el derecho subjetivo se configura como la facultad que otorga dicha norma, para que el particular pueda acceder a la información generada por el sujeto obligado, todo ello se materializará a través de una acción del particular al pretender acceder a la información relativa que la autoridad genera, la cual es la solicitud de información. </w:t>
      </w:r>
    </w:p>
    <w:p w:rsidR="00B21F85" w:rsidRPr="00B21F85" w:rsidRDefault="00B21F85" w:rsidP="00B21F85">
      <w:pPr>
        <w:pStyle w:val="Prrafodelista"/>
        <w:rPr>
          <w:rFonts w:ascii="Palatino Linotype" w:hAnsi="Palatino Linotype"/>
          <w:sz w:val="24"/>
          <w:szCs w:val="24"/>
        </w:rPr>
      </w:pPr>
    </w:p>
    <w:p w:rsid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En conclusión, la norma existe, la facultad o derecho del particular para acceder a la información también existen, todo ello de manera unilateral. Es entonces que la existencia de la pretensión de conocer información relativa a un </w:t>
      </w:r>
      <w:r w:rsidRPr="00B21F85">
        <w:rPr>
          <w:rFonts w:ascii="Palatino Linotype" w:hAnsi="Palatino Linotype"/>
          <w:b/>
          <w:sz w:val="24"/>
          <w:szCs w:val="24"/>
        </w:rPr>
        <w:t xml:space="preserve">SUJETO </w:t>
      </w:r>
      <w:r w:rsidRPr="00B21F85">
        <w:rPr>
          <w:rFonts w:ascii="Palatino Linotype" w:hAnsi="Palatino Linotype"/>
          <w:b/>
          <w:sz w:val="24"/>
          <w:szCs w:val="24"/>
        </w:rPr>
        <w:lastRenderedPageBreak/>
        <w:t>OBLIGADO</w:t>
      </w:r>
      <w:r w:rsidRPr="00B21F85">
        <w:rPr>
          <w:rFonts w:ascii="Palatino Linotype" w:hAnsi="Palatino Linotype"/>
          <w:sz w:val="24"/>
          <w:szCs w:val="24"/>
        </w:rPr>
        <w:t xml:space="preserve"> y con ello una solicitud de información, es a voluntad de terceros, por lo que puede o no existir dicha voluntad. </w:t>
      </w:r>
    </w:p>
    <w:p w:rsidR="00B21F85" w:rsidRPr="00B21F85" w:rsidRDefault="00B21F85" w:rsidP="00B21F85">
      <w:pPr>
        <w:pStyle w:val="Prrafodelista"/>
        <w:rPr>
          <w:rFonts w:ascii="Palatino Linotype" w:hAnsi="Palatino Linotype"/>
          <w:sz w:val="24"/>
          <w:szCs w:val="24"/>
        </w:rPr>
      </w:pPr>
    </w:p>
    <w:p w:rsidR="00B21F85" w:rsidRPr="00B21F85" w:rsidRDefault="00B21F85" w:rsidP="000921E9">
      <w:pPr>
        <w:pStyle w:val="Prrafodelista"/>
        <w:numPr>
          <w:ilvl w:val="0"/>
          <w:numId w:val="1"/>
        </w:numPr>
        <w:spacing w:after="0" w:line="360" w:lineRule="auto"/>
        <w:ind w:left="0" w:firstLine="0"/>
        <w:jc w:val="both"/>
        <w:rPr>
          <w:rFonts w:ascii="Palatino Linotype" w:hAnsi="Palatino Linotype"/>
          <w:sz w:val="24"/>
          <w:szCs w:val="24"/>
        </w:rPr>
      </w:pPr>
      <w:r w:rsidRPr="00B21F85">
        <w:rPr>
          <w:rFonts w:ascii="Palatino Linotype" w:hAnsi="Palatino Linotype"/>
          <w:sz w:val="24"/>
          <w:szCs w:val="24"/>
        </w:rPr>
        <w:t xml:space="preserve">De lo anterior se colige que en muchos casos la generación de la información deriva netamente de que exista un solicitante que requiera conocer la información, en caso de que no exista, la facultad, atribución o competencia del </w:t>
      </w:r>
      <w:r w:rsidRPr="00B21F85">
        <w:rPr>
          <w:rFonts w:ascii="Palatino Linotype" w:hAnsi="Palatino Linotype"/>
          <w:b/>
          <w:sz w:val="24"/>
          <w:szCs w:val="24"/>
        </w:rPr>
        <w:t>SUJETO OBLIGADO</w:t>
      </w:r>
      <w:r w:rsidRPr="00B21F85">
        <w:rPr>
          <w:rFonts w:ascii="Palatino Linotype" w:hAnsi="Palatino Linotype"/>
          <w:sz w:val="24"/>
          <w:szCs w:val="24"/>
        </w:rPr>
        <w:t xml:space="preserve"> puede o no ser ejercida y por ende la información puede o no ser generada y en éste supuesto, el sujeto obligado deberá motivar y fundamentar su respuesta en función de las causas que motiven tal circunstancia. </w:t>
      </w:r>
    </w:p>
    <w:p w:rsidR="00B21F85" w:rsidRDefault="00B21F85" w:rsidP="00B21F85">
      <w:pPr>
        <w:spacing w:after="0" w:line="360" w:lineRule="auto"/>
        <w:jc w:val="both"/>
        <w:rPr>
          <w:rFonts w:ascii="Palatino Linotype" w:hAnsi="Palatino Linotype"/>
          <w:sz w:val="24"/>
          <w:szCs w:val="24"/>
        </w:rPr>
      </w:pPr>
    </w:p>
    <w:p w:rsidR="00B21F85" w:rsidRPr="00A465C7" w:rsidRDefault="00B21F85" w:rsidP="00B21F85">
      <w:pPr>
        <w:pStyle w:val="Prrafodelista"/>
        <w:numPr>
          <w:ilvl w:val="0"/>
          <w:numId w:val="29"/>
        </w:numPr>
        <w:spacing w:after="0" w:line="360" w:lineRule="auto"/>
        <w:ind w:left="426" w:hanging="426"/>
        <w:jc w:val="both"/>
        <w:rPr>
          <w:rFonts w:ascii="Palatino Linotype" w:hAnsi="Palatino Linotype"/>
          <w:sz w:val="24"/>
          <w:szCs w:val="24"/>
        </w:rPr>
      </w:pPr>
      <w:r w:rsidRPr="00A465C7">
        <w:rPr>
          <w:rFonts w:ascii="Palatino Linotype" w:hAnsi="Palatino Linotype"/>
          <w:b/>
          <w:sz w:val="24"/>
          <w:szCs w:val="24"/>
        </w:rPr>
        <w:t>Inexistencia de la información, por incumplimiento de obligación o circunstancias ajenas al sujeto obligado</w:t>
      </w:r>
      <w:r w:rsidRPr="00A465C7">
        <w:rPr>
          <w:rFonts w:ascii="Palatino Linotype" w:hAnsi="Palatino Linotype"/>
          <w:sz w:val="24"/>
          <w:szCs w:val="24"/>
        </w:rPr>
        <w:t>:</w:t>
      </w:r>
    </w:p>
    <w:p w:rsidR="00B21F85" w:rsidRDefault="00B21F85" w:rsidP="00B21F85">
      <w:pPr>
        <w:spacing w:after="0" w:line="360" w:lineRule="auto"/>
        <w:jc w:val="both"/>
        <w:rPr>
          <w:rFonts w:ascii="Palatino Linotype" w:eastAsia="Calibri" w:hAnsi="Palatino Linotype" w:cs="Times New Roman"/>
          <w:sz w:val="24"/>
          <w:szCs w:val="24"/>
          <w:highlight w:val="yellow"/>
          <w:lang w:val="es-ES" w:eastAsia="es-ES"/>
        </w:rPr>
      </w:pPr>
    </w:p>
    <w:p w:rsidR="00B21F85" w:rsidRPr="00B21F85" w:rsidRDefault="00B21F85" w:rsidP="000921E9">
      <w:pPr>
        <w:pStyle w:val="Prrafodelista"/>
        <w:numPr>
          <w:ilvl w:val="0"/>
          <w:numId w:val="1"/>
        </w:numPr>
        <w:spacing w:after="0" w:line="360" w:lineRule="auto"/>
        <w:ind w:left="0" w:firstLine="0"/>
        <w:jc w:val="both"/>
        <w:rPr>
          <w:rFonts w:ascii="Palatino Linotype" w:eastAsia="Calibri" w:hAnsi="Palatino Linotype" w:cs="Arial"/>
          <w:sz w:val="24"/>
          <w:szCs w:val="24"/>
        </w:rPr>
      </w:pPr>
      <w:r w:rsidRPr="00B21F85">
        <w:rPr>
          <w:rFonts w:ascii="Palatino Linotype" w:eastAsia="Calibri" w:hAnsi="Palatino Linotype" w:cs="Times New Roman"/>
          <w:sz w:val="24"/>
          <w:szCs w:val="24"/>
          <w:lang w:val="es-ES" w:eastAsia="es-ES"/>
        </w:rPr>
        <w:t xml:space="preserve">Respecto a este supuesto, nos situamos en que existe el ordenamiento jurídico que establece la facultad, la atribución y las funciones e incluso la obligación del sujeto obligado para generar información, también existe la pretensión de conocer información relativa a éste y por ende, también existe la solicitud de información del particular, sin embargo, el </w:t>
      </w:r>
      <w:r w:rsidRPr="00B21F85">
        <w:rPr>
          <w:rFonts w:ascii="Palatino Linotype" w:eastAsia="Calibri" w:hAnsi="Palatino Linotype" w:cs="Times New Roman"/>
          <w:b/>
          <w:sz w:val="24"/>
          <w:szCs w:val="24"/>
          <w:lang w:val="es-ES" w:eastAsia="es-ES"/>
        </w:rPr>
        <w:t>SUJETO OBLIGADO</w:t>
      </w:r>
      <w:r w:rsidRPr="00B21F85">
        <w:rPr>
          <w:rFonts w:ascii="Palatino Linotype" w:eastAsia="Calibri" w:hAnsi="Palatino Linotype" w:cs="Times New Roman"/>
          <w:sz w:val="24"/>
          <w:szCs w:val="24"/>
          <w:lang w:val="es-ES" w:eastAsia="es-ES"/>
        </w:rPr>
        <w:t>; 1) N</w:t>
      </w:r>
      <w:r w:rsidRPr="00B21F85">
        <w:rPr>
          <w:rFonts w:ascii="Palatino Linotype" w:eastAsia="Calibri" w:hAnsi="Palatino Linotype" w:cs="Arial"/>
          <w:sz w:val="24"/>
          <w:szCs w:val="24"/>
        </w:rPr>
        <w:t xml:space="preserve">o ejerció lo que por ley le correspondía, lo que  implica que deberá probar o acreditar tal circunstancia, al tenor de que debe explicar (motivar o en su caso fundamentar) de manera correcta y adecuada por qué contando con esas facultades, competencias o funciones para generar, poseer o administrar la documentación solicitada no lo hizo y no se </w:t>
      </w:r>
      <w:r w:rsidRPr="00B21F85">
        <w:rPr>
          <w:rFonts w:ascii="Palatino Linotype" w:eastAsia="Calibri" w:hAnsi="Palatino Linotype" w:cs="Arial"/>
          <w:sz w:val="24"/>
          <w:szCs w:val="24"/>
        </w:rPr>
        <w:lastRenderedPageBreak/>
        <w:t xml:space="preserve">encuentra en su posesión, o bien  2) El </w:t>
      </w:r>
      <w:r w:rsidRPr="00B21F85">
        <w:rPr>
          <w:rFonts w:ascii="Palatino Linotype" w:eastAsia="Calibri" w:hAnsi="Palatino Linotype" w:cs="Arial"/>
          <w:b/>
          <w:sz w:val="24"/>
          <w:szCs w:val="24"/>
        </w:rPr>
        <w:t xml:space="preserve">SUJETO OBLIGADO </w:t>
      </w:r>
      <w:r w:rsidRPr="00B21F85">
        <w:rPr>
          <w:rFonts w:ascii="Palatino Linotype" w:eastAsia="Calibri" w:hAnsi="Palatino Linotype" w:cs="Arial"/>
          <w:sz w:val="24"/>
          <w:szCs w:val="24"/>
        </w:rPr>
        <w:t xml:space="preserve">sí ejerció las facultades, atribuciones y funciones que la ley le confiere y “cumplió” con la obligación de generar la información que le correspondía, sin embargo, un particular deseó conocer lo que por sus facultades generó, y el </w:t>
      </w:r>
      <w:r w:rsidRPr="00B21F85">
        <w:rPr>
          <w:rFonts w:ascii="Palatino Linotype" w:eastAsia="Calibri" w:hAnsi="Palatino Linotype" w:cs="Arial"/>
          <w:b/>
          <w:sz w:val="24"/>
          <w:szCs w:val="24"/>
        </w:rPr>
        <w:t>SUJETO OBLIGADO</w:t>
      </w:r>
      <w:r w:rsidRPr="00B21F85">
        <w:rPr>
          <w:rFonts w:ascii="Palatino Linotype" w:eastAsia="Calibri" w:hAnsi="Palatino Linotype" w:cs="Arial"/>
          <w:sz w:val="24"/>
          <w:szCs w:val="24"/>
        </w:rPr>
        <w:t xml:space="preserve"> señaló que pese a la búsqueda exhaustiva que realizó en sus archivos y en todas sus áreas competentes, por causas ajenas a él, no tiene la información solicitada, por lo que, en el mismo sentido también deberá de fundamentar y motivar de manera precisa y clara las razones por las cuales no se encuentra la información en su posesión.</w:t>
      </w:r>
    </w:p>
    <w:p w:rsidR="00483418" w:rsidRPr="00B21F85" w:rsidRDefault="00483418" w:rsidP="00B21F85">
      <w:pPr>
        <w:rPr>
          <w:rFonts w:ascii="Palatino Linotype" w:hAnsi="Palatino Linotype"/>
          <w:sz w:val="24"/>
          <w:szCs w:val="24"/>
        </w:rPr>
      </w:pPr>
    </w:p>
    <w:p w:rsidR="004F6B61" w:rsidRPr="009A0649" w:rsidRDefault="00483418" w:rsidP="00CD53CB">
      <w:pPr>
        <w:numPr>
          <w:ilvl w:val="0"/>
          <w:numId w:val="1"/>
        </w:numPr>
        <w:spacing w:after="0" w:line="360" w:lineRule="auto"/>
        <w:ind w:left="0" w:firstLine="0"/>
        <w:contextualSpacing/>
        <w:jc w:val="both"/>
        <w:rPr>
          <w:rFonts w:ascii="Palatino Linotype" w:hAnsi="Palatino Linotype"/>
          <w:sz w:val="24"/>
          <w:szCs w:val="24"/>
        </w:rPr>
      </w:pPr>
      <w:r w:rsidRPr="00B21F85">
        <w:rPr>
          <w:rFonts w:ascii="Palatino Linotype" w:hAnsi="Palatino Linotype"/>
          <w:sz w:val="24"/>
          <w:szCs w:val="24"/>
        </w:rPr>
        <w:t xml:space="preserve">Además es necesario señalar que el incorporar en la resolución “bastará con que así lo manifieste” o “bastará con que así lo informe” cuando del mismo resolutivo se desprende que “en caso de no localizar o de no contar” puesto que esta redacción alude a que en caso de que una vez concluida la búsqueda no se hubiese  ubicado el documento, pues que así lo informe; situación que resulta inadecuado, dado que si de la búsqueda no se localiza esto es porque nunca se generó, poseyó o administró es decir, no se ejecutó la atribución y esto trae como consecuencia que la información no exista, porque no es lo mismo, no generarla a no tenerla, por no localizarla, lo cual solo reflejaría una mala gestión documental. </w:t>
      </w:r>
      <w:r w:rsidR="00B21F85" w:rsidRPr="00B21F85">
        <w:rPr>
          <w:rFonts w:ascii="Palatino Linotype" w:hAnsi="Palatino Linotype"/>
          <w:sz w:val="24"/>
          <w:szCs w:val="24"/>
        </w:rPr>
        <w:t xml:space="preserve"> Por ello, contrario a lo que dicen ciertas voces aisladas, explicar las razones por las cuales no se ejercieron ciertas facultades, competencias o funciones no implica que se pruebe o acredite tal circunstancia, sino que el </w:t>
      </w:r>
      <w:r w:rsidR="00B21F85" w:rsidRPr="00036595">
        <w:rPr>
          <w:rFonts w:ascii="Palatino Linotype" w:hAnsi="Palatino Linotype"/>
          <w:b/>
          <w:sz w:val="24"/>
          <w:szCs w:val="24"/>
        </w:rPr>
        <w:t>SUJETO OBLIGADO</w:t>
      </w:r>
      <w:r w:rsidR="00B21F85" w:rsidRPr="00B21F85">
        <w:rPr>
          <w:rFonts w:ascii="Palatino Linotype" w:hAnsi="Palatino Linotype"/>
          <w:sz w:val="24"/>
          <w:szCs w:val="24"/>
        </w:rPr>
        <w:t xml:space="preserve"> haga una explicación (motive y de ser el caso fundamente) adecuada de porque contando con esas facultades, </w:t>
      </w:r>
      <w:r w:rsidR="00B21F85" w:rsidRPr="00B21F85">
        <w:rPr>
          <w:rFonts w:ascii="Palatino Linotype" w:hAnsi="Palatino Linotype"/>
          <w:sz w:val="24"/>
          <w:szCs w:val="24"/>
        </w:rPr>
        <w:lastRenderedPageBreak/>
        <w:t>competencias o funciones para generar, poseer o administrar la documentación solicitada no lo hizo.</w:t>
      </w:r>
    </w:p>
    <w:p w:rsidR="00E6179D" w:rsidRPr="0083488C" w:rsidRDefault="00CD53CB" w:rsidP="00CD53CB">
      <w:pPr>
        <w:pStyle w:val="Ttulo1"/>
        <w:rPr>
          <w:rFonts w:eastAsia="Calibri"/>
          <w:szCs w:val="24"/>
        </w:rPr>
      </w:pPr>
      <w:bookmarkStart w:id="6" w:name="_Toc7187820"/>
      <w:r>
        <w:rPr>
          <w:rFonts w:eastAsia="Calibri"/>
          <w:color w:val="auto"/>
          <w:szCs w:val="24"/>
        </w:rPr>
        <w:t xml:space="preserve">V. </w:t>
      </w:r>
      <w:r w:rsidR="00E6179D" w:rsidRPr="0083488C">
        <w:rPr>
          <w:rFonts w:eastAsia="Calibri"/>
          <w:color w:val="auto"/>
          <w:szCs w:val="24"/>
        </w:rPr>
        <w:t>Conclusión.</w:t>
      </w:r>
      <w:bookmarkEnd w:id="6"/>
    </w:p>
    <w:p w:rsidR="00E6179D" w:rsidRPr="00427B79" w:rsidRDefault="00E6179D" w:rsidP="00E6179D">
      <w:pPr>
        <w:pStyle w:val="Prrafodelista"/>
        <w:ind w:left="0"/>
        <w:rPr>
          <w:rFonts w:ascii="Palatino Linotype" w:eastAsia="Calibri" w:hAnsi="Palatino Linotype" w:cs="Arial"/>
          <w:sz w:val="24"/>
          <w:szCs w:val="24"/>
        </w:rPr>
      </w:pPr>
    </w:p>
    <w:p w:rsidR="00E6179D" w:rsidRPr="00427B79" w:rsidRDefault="00E6179D" w:rsidP="000921E9">
      <w:pPr>
        <w:numPr>
          <w:ilvl w:val="0"/>
          <w:numId w:val="1"/>
        </w:numPr>
        <w:spacing w:line="360" w:lineRule="auto"/>
        <w:ind w:left="0" w:firstLine="0"/>
        <w:contextualSpacing/>
        <w:jc w:val="both"/>
        <w:rPr>
          <w:rFonts w:ascii="Palatino Linotype" w:eastAsia="Calibri" w:hAnsi="Palatino Linotype" w:cs="Arial"/>
          <w:sz w:val="24"/>
          <w:szCs w:val="24"/>
        </w:rPr>
      </w:pPr>
      <w:r w:rsidRPr="00427B79">
        <w:rPr>
          <w:rFonts w:ascii="Palatino Linotype" w:eastAsia="Calibri" w:hAnsi="Palatino Linotype" w:cs="Arial"/>
          <w:sz w:val="24"/>
          <w:szCs w:val="24"/>
        </w:rPr>
        <w:t>Por lo mencionado anteriormente, considero que es de suma importancia que en los casos que el Sujeto Obligado emita un pronunciamiento simple este debe estar debidamente fundado y motivado demostrando las razones o motivos por las que no genera, posee o administra lo solicitado, de tal manera que el particular tenga certeza jurídica de que en todo momento se está actuando con estricto apego a derecho, de lo contrario este instituto como Órgano Garante contribuiría a la afectación al derecho de acceso a la información de los particulares al consentir tales deficiencias por parte de los Sujetos Obligados.</w:t>
      </w:r>
    </w:p>
    <w:p w:rsidR="00B42A2D" w:rsidRPr="00427B79" w:rsidRDefault="00B42A2D" w:rsidP="00E6179D">
      <w:pPr>
        <w:rPr>
          <w:rFonts w:ascii="Palatino Linotype" w:hAnsi="Palatino Linotype" w:cs="Arial"/>
          <w:color w:val="000000" w:themeColor="text1"/>
          <w:sz w:val="24"/>
          <w:szCs w:val="24"/>
        </w:rPr>
      </w:pPr>
    </w:p>
    <w:p w:rsidR="00C9680E" w:rsidRPr="00427B79" w:rsidRDefault="00C9680E" w:rsidP="00E6179D">
      <w:pPr>
        <w:pStyle w:val="Prrafodelista"/>
        <w:spacing w:before="240" w:after="240" w:line="360" w:lineRule="auto"/>
        <w:ind w:left="0"/>
        <w:jc w:val="both"/>
        <w:rPr>
          <w:rFonts w:ascii="Palatino Linotype" w:hAnsi="Palatino Linotype" w:cs="Arial"/>
          <w:color w:val="000000" w:themeColor="text1"/>
          <w:sz w:val="24"/>
          <w:szCs w:val="24"/>
        </w:rPr>
      </w:pPr>
    </w:p>
    <w:p w:rsidR="003855C9" w:rsidRPr="00427B79" w:rsidRDefault="00C602B8" w:rsidP="00C602B8">
      <w:pPr>
        <w:tabs>
          <w:tab w:val="center" w:pos="4419"/>
          <w:tab w:val="right" w:pos="8838"/>
        </w:tabs>
        <w:spacing w:line="360" w:lineRule="auto"/>
        <w:rPr>
          <w:rFonts w:ascii="Palatino Linotype" w:eastAsia="Arial" w:hAnsi="Palatino Linotype" w:cs="Arial"/>
          <w:b/>
          <w:color w:val="000000" w:themeColor="text1"/>
          <w:sz w:val="24"/>
          <w:szCs w:val="24"/>
          <w:lang w:eastAsia="es-MX"/>
        </w:rPr>
      </w:pPr>
      <w:r>
        <w:rPr>
          <w:rFonts w:ascii="Palatino Linotype" w:eastAsia="Arial" w:hAnsi="Palatino Linotype" w:cs="Arial"/>
          <w:b/>
          <w:color w:val="000000" w:themeColor="text1"/>
          <w:sz w:val="24"/>
          <w:szCs w:val="24"/>
          <w:lang w:eastAsia="es-MX"/>
        </w:rPr>
        <w:tab/>
      </w:r>
      <w:r w:rsidR="003855C9" w:rsidRPr="00427B79">
        <w:rPr>
          <w:rFonts w:ascii="Palatino Linotype" w:eastAsia="Arial" w:hAnsi="Palatino Linotype" w:cs="Arial"/>
          <w:b/>
          <w:color w:val="000000" w:themeColor="text1"/>
          <w:sz w:val="24"/>
          <w:szCs w:val="24"/>
          <w:lang w:eastAsia="es-MX"/>
        </w:rPr>
        <w:t>JOSÉ GUADALUPE LUNA HERNÁNDEZ</w:t>
      </w:r>
      <w:r>
        <w:rPr>
          <w:rFonts w:ascii="Palatino Linotype" w:eastAsia="Arial" w:hAnsi="Palatino Linotype" w:cs="Arial"/>
          <w:b/>
          <w:color w:val="000000" w:themeColor="text1"/>
          <w:sz w:val="24"/>
          <w:szCs w:val="24"/>
          <w:lang w:eastAsia="es-MX"/>
        </w:rPr>
        <w:tab/>
      </w:r>
    </w:p>
    <w:p w:rsidR="003855C9" w:rsidRDefault="003855C9" w:rsidP="00E6179D">
      <w:pPr>
        <w:spacing w:line="360" w:lineRule="auto"/>
        <w:jc w:val="center"/>
        <w:rPr>
          <w:rFonts w:ascii="Palatino Linotype" w:eastAsia="Arial" w:hAnsi="Palatino Linotype" w:cs="Arial"/>
          <w:b/>
          <w:color w:val="000000" w:themeColor="text1"/>
          <w:sz w:val="24"/>
          <w:szCs w:val="24"/>
          <w:lang w:eastAsia="es-MX"/>
        </w:rPr>
      </w:pPr>
      <w:r w:rsidRPr="00427B79">
        <w:rPr>
          <w:rFonts w:ascii="Palatino Linotype" w:eastAsia="Arial" w:hAnsi="Palatino Linotype" w:cs="Arial"/>
          <w:b/>
          <w:color w:val="000000" w:themeColor="text1"/>
          <w:sz w:val="24"/>
          <w:szCs w:val="24"/>
          <w:lang w:eastAsia="es-MX"/>
        </w:rPr>
        <w:t>COMISIONADO</w:t>
      </w:r>
    </w:p>
    <w:p w:rsidR="003C3547" w:rsidRPr="00E349CD" w:rsidRDefault="00F73C04" w:rsidP="00E349CD">
      <w:pPr>
        <w:spacing w:line="360" w:lineRule="auto"/>
        <w:jc w:val="center"/>
        <w:rPr>
          <w:rFonts w:ascii="Palatino Linotype" w:eastAsia="Arial" w:hAnsi="Palatino Linotype" w:cs="Arial"/>
          <w:b/>
          <w:color w:val="000000" w:themeColor="text1"/>
          <w:sz w:val="24"/>
          <w:szCs w:val="24"/>
          <w:lang w:eastAsia="es-MX"/>
        </w:rPr>
      </w:pPr>
      <w:r>
        <w:rPr>
          <w:rFonts w:ascii="Palatino Linotype" w:eastAsia="Arial" w:hAnsi="Palatino Linotype" w:cs="Arial"/>
          <w:b/>
          <w:color w:val="000000" w:themeColor="text1"/>
          <w:sz w:val="24"/>
          <w:szCs w:val="24"/>
          <w:lang w:eastAsia="es-MX"/>
        </w:rPr>
        <w:t>(Rúbrica)</w:t>
      </w:r>
    </w:p>
    <w:p w:rsidR="00E349CD" w:rsidRDefault="00E349CD" w:rsidP="00E6179D">
      <w:pPr>
        <w:rPr>
          <w:rFonts w:ascii="Palatino Linotype" w:hAnsi="Palatino Linotype"/>
          <w:color w:val="000000" w:themeColor="text1"/>
          <w:sz w:val="24"/>
          <w:szCs w:val="24"/>
        </w:rPr>
      </w:pPr>
    </w:p>
    <w:p w:rsidR="00C50660" w:rsidRDefault="00C50660" w:rsidP="00E6179D">
      <w:pPr>
        <w:rPr>
          <w:rFonts w:ascii="Palatino Linotype" w:hAnsi="Palatino Linotype"/>
          <w:color w:val="000000" w:themeColor="text1"/>
          <w:sz w:val="24"/>
          <w:szCs w:val="24"/>
        </w:rPr>
      </w:pPr>
    </w:p>
    <w:p w:rsidR="003855C9" w:rsidRPr="00427B79" w:rsidRDefault="00A22908" w:rsidP="00E6179D">
      <w:pPr>
        <w:rPr>
          <w:rFonts w:ascii="Palatino Linotype" w:hAnsi="Palatino Linotype"/>
          <w:color w:val="000000" w:themeColor="text1"/>
          <w:sz w:val="24"/>
          <w:szCs w:val="24"/>
        </w:rPr>
      </w:pPr>
      <w:r>
        <w:rPr>
          <w:rFonts w:ascii="Palatino Linotype" w:hAnsi="Palatino Linotype"/>
          <w:color w:val="000000" w:themeColor="text1"/>
          <w:sz w:val="24"/>
          <w:szCs w:val="24"/>
        </w:rPr>
        <w:t>JGLH</w:t>
      </w:r>
      <w:r w:rsidR="00241D8A">
        <w:rPr>
          <w:rFonts w:ascii="Palatino Linotype" w:hAnsi="Palatino Linotype"/>
          <w:color w:val="000000" w:themeColor="text1"/>
          <w:sz w:val="24"/>
          <w:szCs w:val="24"/>
        </w:rPr>
        <w:t>/VMM</w:t>
      </w:r>
    </w:p>
    <w:sectPr w:rsidR="003855C9" w:rsidRPr="00427B79" w:rsidSect="00BB488C">
      <w:headerReference w:type="even" r:id="rId9"/>
      <w:headerReference w:type="default" r:id="rId10"/>
      <w:footerReference w:type="default" r:id="rId11"/>
      <w:headerReference w:type="first" r:id="rId12"/>
      <w:pgSz w:w="12240" w:h="15840" w:code="1"/>
      <w:pgMar w:top="2495" w:right="1701" w:bottom="2495"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6F8" w:rsidRDefault="002926F8" w:rsidP="00E82D3D">
      <w:pPr>
        <w:spacing w:after="0" w:line="240" w:lineRule="auto"/>
      </w:pPr>
      <w:r>
        <w:separator/>
      </w:r>
    </w:p>
  </w:endnote>
  <w:endnote w:type="continuationSeparator" w:id="0">
    <w:p w:rsidR="002926F8" w:rsidRDefault="002926F8" w:rsidP="00E82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097618"/>
      <w:docPartObj>
        <w:docPartGallery w:val="Page Numbers (Bottom of Page)"/>
        <w:docPartUnique/>
      </w:docPartObj>
    </w:sdtPr>
    <w:sdtEndPr/>
    <w:sdtContent>
      <w:sdt>
        <w:sdtPr>
          <w:id w:val="-1769616900"/>
          <w:docPartObj>
            <w:docPartGallery w:val="Page Numbers (Top of Page)"/>
            <w:docPartUnique/>
          </w:docPartObj>
        </w:sdtPr>
        <w:sdtEndPr/>
        <w:sdtContent>
          <w:p w:rsidR="00987C08" w:rsidRDefault="00987C08">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A7962">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A7962">
              <w:rPr>
                <w:b/>
                <w:bCs/>
                <w:noProof/>
              </w:rPr>
              <w:t>28</w:t>
            </w:r>
            <w:r>
              <w:rPr>
                <w:b/>
                <w:bCs/>
                <w:sz w:val="24"/>
                <w:szCs w:val="24"/>
              </w:rPr>
              <w:fldChar w:fldCharType="end"/>
            </w:r>
          </w:p>
        </w:sdtContent>
      </w:sdt>
    </w:sdtContent>
  </w:sdt>
  <w:p w:rsidR="00987C08" w:rsidRDefault="00987C08" w:rsidP="00BB488C">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6F8" w:rsidRDefault="002926F8" w:rsidP="00E82D3D">
      <w:pPr>
        <w:spacing w:after="0" w:line="240" w:lineRule="auto"/>
      </w:pPr>
      <w:r>
        <w:separator/>
      </w:r>
    </w:p>
  </w:footnote>
  <w:footnote w:type="continuationSeparator" w:id="0">
    <w:p w:rsidR="002926F8" w:rsidRDefault="002926F8" w:rsidP="00E82D3D">
      <w:pPr>
        <w:spacing w:after="0" w:line="240" w:lineRule="auto"/>
      </w:pPr>
      <w:r>
        <w:continuationSeparator/>
      </w:r>
    </w:p>
  </w:footnote>
  <w:footnote w:id="1">
    <w:p w:rsidR="00B21F85" w:rsidRDefault="00B21F85" w:rsidP="00B21F85">
      <w:pPr>
        <w:pStyle w:val="Textonotapie"/>
      </w:pPr>
      <w:r>
        <w:rPr>
          <w:rStyle w:val="Refdenotaalpie"/>
        </w:rPr>
        <w:footnoteRef/>
      </w:r>
      <w:r>
        <w:t xml:space="preserve"> Reflexiones sobre las presunciones, Parra Quijano. Jairo, pag. 1. </w:t>
      </w:r>
    </w:p>
  </w:footnote>
  <w:footnote w:id="2">
    <w:p w:rsidR="00B21F85" w:rsidRDefault="00B21F85" w:rsidP="00B21F85">
      <w:pPr>
        <w:pStyle w:val="Textonotapie"/>
      </w:pPr>
      <w:r>
        <w:rPr>
          <w:rStyle w:val="Refdenotaalpie"/>
        </w:rPr>
        <w:footnoteRef/>
      </w:r>
      <w:r>
        <w:t xml:space="preserve"> Teoría General del Proceso. Gómez Lara. Oxford.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C08" w:rsidRDefault="002926F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8008735" o:spid="_x0000_s2049" type="#_x0000_t136" style="position:absolute;margin-left:0;margin-top:0;width:557.4pt;height:65.55pt;rotation:315;z-index:-251657216;mso-position-horizontal:center;mso-position-horizontal-relative:margin;mso-position-vertical:center;mso-position-vertical-relative:margin" o:allowincell="f" fillcolor="#747070 [1614]" stroked="f">
          <v:fill opacity=".5"/>
          <v:textpath style="font-family:&quot;Arial&quot;;font-size:1pt" string="VOTO PARTICULA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C08" w:rsidRDefault="002926F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8008736" o:spid="_x0000_s2050" type="#_x0000_t136" style="position:absolute;margin-left:0;margin-top:0;width:557.4pt;height:65.55pt;rotation:315;z-index:-251656192;mso-position-horizontal:center;mso-position-horizontal-relative:margin;mso-position-vertical:center;mso-position-vertical-relative:margin" o:allowincell="f" fillcolor="#747070 [1614]" stroked="f">
          <v:fill opacity=".5"/>
          <v:textpath style="font-family:&quot;Arial&quot;;font-size:1pt" string="VOTO PARTICULAR"/>
          <w10:wrap anchorx="margin" anchory="margin"/>
        </v:shape>
      </w:pict>
    </w:r>
  </w:p>
  <w:p w:rsidR="00987C08" w:rsidRDefault="00987C0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C08" w:rsidRDefault="002926F8">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8008734" o:spid="_x0000_s2051" type="#_x0000_t136" style="position:absolute;margin-left:0;margin-top:0;width:557.4pt;height:65.55pt;rotation:315;z-index:-251655168;mso-position-horizontal:center;mso-position-horizontal-relative:margin;mso-position-vertical:center;mso-position-vertical-relative:margin" o:allowincell="f" fillcolor="#747070 [1614]" stroked="f">
          <v:fill opacity=".5"/>
          <v:textpath style="font-family:&quot;Arial&quot;;font-size:1pt" string="VOTO PARTICULA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64A6"/>
    <w:multiLevelType w:val="hybridMultilevel"/>
    <w:tmpl w:val="F558F2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66C7F7D"/>
    <w:multiLevelType w:val="multilevel"/>
    <w:tmpl w:val="5BB6EFEE"/>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 w15:restartNumberingAfterBreak="0">
    <w:nsid w:val="08E85806"/>
    <w:multiLevelType w:val="hybridMultilevel"/>
    <w:tmpl w:val="69707AB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9996DDD"/>
    <w:multiLevelType w:val="hybridMultilevel"/>
    <w:tmpl w:val="8DC2F6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A1F7C8E"/>
    <w:multiLevelType w:val="hybridMultilevel"/>
    <w:tmpl w:val="D4542AEC"/>
    <w:lvl w:ilvl="0" w:tplc="EDDCAEBC">
      <w:start w:val="1"/>
      <w:numFmt w:val="decimal"/>
      <w:lvlText w:val="%1."/>
      <w:lvlJc w:val="left"/>
      <w:pPr>
        <w:ind w:left="720" w:hanging="360"/>
      </w:pPr>
      <w:rPr>
        <w:rFonts w:hint="default"/>
        <w:i/>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AFE5652"/>
    <w:multiLevelType w:val="hybridMultilevel"/>
    <w:tmpl w:val="3320DBE6"/>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6" w15:restartNumberingAfterBreak="0">
    <w:nsid w:val="107870FC"/>
    <w:multiLevelType w:val="hybridMultilevel"/>
    <w:tmpl w:val="1CAEC528"/>
    <w:lvl w:ilvl="0" w:tplc="358EFBE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128601D"/>
    <w:multiLevelType w:val="hybridMultilevel"/>
    <w:tmpl w:val="0F3A8970"/>
    <w:lvl w:ilvl="0" w:tplc="CB8E898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118F5329"/>
    <w:multiLevelType w:val="hybridMultilevel"/>
    <w:tmpl w:val="1B062526"/>
    <w:lvl w:ilvl="0" w:tplc="BFBC359C">
      <w:start w:val="11"/>
      <w:numFmt w:val="bullet"/>
      <w:lvlText w:val="-"/>
      <w:lvlJc w:val="left"/>
      <w:pPr>
        <w:ind w:left="720" w:hanging="360"/>
      </w:pPr>
      <w:rPr>
        <w:rFonts w:ascii="Palatino Linotype" w:eastAsia="Times New Roman" w:hAnsi="Palatino Linotype"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2E80EA6"/>
    <w:multiLevelType w:val="hybridMultilevel"/>
    <w:tmpl w:val="5A667C2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4856639"/>
    <w:multiLevelType w:val="hybridMultilevel"/>
    <w:tmpl w:val="3260DF76"/>
    <w:lvl w:ilvl="0" w:tplc="3882652A">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B057C0"/>
    <w:multiLevelType w:val="hybridMultilevel"/>
    <w:tmpl w:val="DC18253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A73666"/>
    <w:multiLevelType w:val="hybridMultilevel"/>
    <w:tmpl w:val="5234EB5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75A60EE"/>
    <w:multiLevelType w:val="hybridMultilevel"/>
    <w:tmpl w:val="6F9C0C60"/>
    <w:lvl w:ilvl="0" w:tplc="88CA5424">
      <w:start w:val="1"/>
      <w:numFmt w:val="decimal"/>
      <w:lvlText w:val="%1."/>
      <w:lvlJc w:val="left"/>
      <w:pPr>
        <w:ind w:left="720" w:hanging="360"/>
      </w:pPr>
      <w:rPr>
        <w:rFonts w:cs="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7FC2B15"/>
    <w:multiLevelType w:val="hybridMultilevel"/>
    <w:tmpl w:val="C08AFF70"/>
    <w:lvl w:ilvl="0" w:tplc="628CF26C">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5" w15:restartNumberingAfterBreak="0">
    <w:nsid w:val="29863FAE"/>
    <w:multiLevelType w:val="hybridMultilevel"/>
    <w:tmpl w:val="EB98A30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AC61FA9"/>
    <w:multiLevelType w:val="hybridMultilevel"/>
    <w:tmpl w:val="182229A4"/>
    <w:lvl w:ilvl="0" w:tplc="5AA02692">
      <w:start w:val="1"/>
      <w:numFmt w:val="decimal"/>
      <w:lvlText w:val="%1."/>
      <w:lvlJc w:val="left"/>
      <w:pPr>
        <w:ind w:left="1410" w:hanging="69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7" w15:restartNumberingAfterBreak="0">
    <w:nsid w:val="2DED10C4"/>
    <w:multiLevelType w:val="hybridMultilevel"/>
    <w:tmpl w:val="04ACB22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F9D629D"/>
    <w:multiLevelType w:val="hybridMultilevel"/>
    <w:tmpl w:val="99F4A742"/>
    <w:lvl w:ilvl="0" w:tplc="6C6CD1D6">
      <w:numFmt w:val="bullet"/>
      <w:lvlText w:val=""/>
      <w:lvlJc w:val="left"/>
      <w:pPr>
        <w:ind w:left="720" w:hanging="360"/>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42397A"/>
    <w:multiLevelType w:val="hybridMultilevel"/>
    <w:tmpl w:val="85D6DB24"/>
    <w:lvl w:ilvl="0" w:tplc="F3D0022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AAB74CB"/>
    <w:multiLevelType w:val="hybridMultilevel"/>
    <w:tmpl w:val="C6D2F62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0C33F98"/>
    <w:multiLevelType w:val="hybridMultilevel"/>
    <w:tmpl w:val="095A4492"/>
    <w:lvl w:ilvl="0" w:tplc="080A000B">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0DF671D"/>
    <w:multiLevelType w:val="hybridMultilevel"/>
    <w:tmpl w:val="461C133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28F3ABA"/>
    <w:multiLevelType w:val="hybridMultilevel"/>
    <w:tmpl w:val="795AD0AE"/>
    <w:lvl w:ilvl="0" w:tplc="080A000F">
      <w:start w:val="1"/>
      <w:numFmt w:val="decimal"/>
      <w:lvlText w:val="%1."/>
      <w:lvlJc w:val="left"/>
      <w:pPr>
        <w:ind w:left="1591" w:hanging="360"/>
      </w:pPr>
      <w:rPr>
        <w:rFonts w:hint="default"/>
      </w:rPr>
    </w:lvl>
    <w:lvl w:ilvl="1" w:tplc="080A0003" w:tentative="1">
      <w:start w:val="1"/>
      <w:numFmt w:val="bullet"/>
      <w:lvlText w:val="o"/>
      <w:lvlJc w:val="left"/>
      <w:pPr>
        <w:ind w:left="2311" w:hanging="360"/>
      </w:pPr>
      <w:rPr>
        <w:rFonts w:ascii="Courier New" w:hAnsi="Courier New" w:cs="Courier New" w:hint="default"/>
      </w:rPr>
    </w:lvl>
    <w:lvl w:ilvl="2" w:tplc="080A0005" w:tentative="1">
      <w:start w:val="1"/>
      <w:numFmt w:val="bullet"/>
      <w:lvlText w:val=""/>
      <w:lvlJc w:val="left"/>
      <w:pPr>
        <w:ind w:left="3031" w:hanging="360"/>
      </w:pPr>
      <w:rPr>
        <w:rFonts w:ascii="Wingdings" w:hAnsi="Wingdings" w:hint="default"/>
      </w:rPr>
    </w:lvl>
    <w:lvl w:ilvl="3" w:tplc="080A0001" w:tentative="1">
      <w:start w:val="1"/>
      <w:numFmt w:val="bullet"/>
      <w:lvlText w:val=""/>
      <w:lvlJc w:val="left"/>
      <w:pPr>
        <w:ind w:left="3751" w:hanging="360"/>
      </w:pPr>
      <w:rPr>
        <w:rFonts w:ascii="Symbol" w:hAnsi="Symbol" w:hint="default"/>
      </w:rPr>
    </w:lvl>
    <w:lvl w:ilvl="4" w:tplc="080A0003" w:tentative="1">
      <w:start w:val="1"/>
      <w:numFmt w:val="bullet"/>
      <w:lvlText w:val="o"/>
      <w:lvlJc w:val="left"/>
      <w:pPr>
        <w:ind w:left="4471" w:hanging="360"/>
      </w:pPr>
      <w:rPr>
        <w:rFonts w:ascii="Courier New" w:hAnsi="Courier New" w:cs="Courier New" w:hint="default"/>
      </w:rPr>
    </w:lvl>
    <w:lvl w:ilvl="5" w:tplc="080A0005" w:tentative="1">
      <w:start w:val="1"/>
      <w:numFmt w:val="bullet"/>
      <w:lvlText w:val=""/>
      <w:lvlJc w:val="left"/>
      <w:pPr>
        <w:ind w:left="5191" w:hanging="360"/>
      </w:pPr>
      <w:rPr>
        <w:rFonts w:ascii="Wingdings" w:hAnsi="Wingdings" w:hint="default"/>
      </w:rPr>
    </w:lvl>
    <w:lvl w:ilvl="6" w:tplc="080A0001" w:tentative="1">
      <w:start w:val="1"/>
      <w:numFmt w:val="bullet"/>
      <w:lvlText w:val=""/>
      <w:lvlJc w:val="left"/>
      <w:pPr>
        <w:ind w:left="5911" w:hanging="360"/>
      </w:pPr>
      <w:rPr>
        <w:rFonts w:ascii="Symbol" w:hAnsi="Symbol" w:hint="default"/>
      </w:rPr>
    </w:lvl>
    <w:lvl w:ilvl="7" w:tplc="080A0003" w:tentative="1">
      <w:start w:val="1"/>
      <w:numFmt w:val="bullet"/>
      <w:lvlText w:val="o"/>
      <w:lvlJc w:val="left"/>
      <w:pPr>
        <w:ind w:left="6631" w:hanging="360"/>
      </w:pPr>
      <w:rPr>
        <w:rFonts w:ascii="Courier New" w:hAnsi="Courier New" w:cs="Courier New" w:hint="default"/>
      </w:rPr>
    </w:lvl>
    <w:lvl w:ilvl="8" w:tplc="080A0005" w:tentative="1">
      <w:start w:val="1"/>
      <w:numFmt w:val="bullet"/>
      <w:lvlText w:val=""/>
      <w:lvlJc w:val="left"/>
      <w:pPr>
        <w:ind w:left="7351" w:hanging="360"/>
      </w:pPr>
      <w:rPr>
        <w:rFonts w:ascii="Wingdings" w:hAnsi="Wingdings" w:hint="default"/>
      </w:rPr>
    </w:lvl>
  </w:abstractNum>
  <w:abstractNum w:abstractNumId="24" w15:restartNumberingAfterBreak="0">
    <w:nsid w:val="44290DC3"/>
    <w:multiLevelType w:val="hybridMultilevel"/>
    <w:tmpl w:val="DE0AC90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50A604D"/>
    <w:multiLevelType w:val="hybridMultilevel"/>
    <w:tmpl w:val="A0F4260C"/>
    <w:lvl w:ilvl="0" w:tplc="3B78EFA8">
      <w:start w:val="1"/>
      <w:numFmt w:val="decimal"/>
      <w:lvlText w:val="%1."/>
      <w:lvlJc w:val="left"/>
      <w:pPr>
        <w:ind w:left="720" w:hanging="360"/>
      </w:pPr>
      <w:rPr>
        <w:rFonts w:cstheme="minorBidi"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79E3CAB"/>
    <w:multiLevelType w:val="hybridMultilevel"/>
    <w:tmpl w:val="B8A8870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91E3ACF"/>
    <w:multiLevelType w:val="hybridMultilevel"/>
    <w:tmpl w:val="1520E24A"/>
    <w:lvl w:ilvl="0" w:tplc="CB8E8984">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8" w15:restartNumberingAfterBreak="0">
    <w:nsid w:val="49614B31"/>
    <w:multiLevelType w:val="hybridMultilevel"/>
    <w:tmpl w:val="BB8A3294"/>
    <w:lvl w:ilvl="0" w:tplc="E9B0BB7A">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9A0544C"/>
    <w:multiLevelType w:val="hybridMultilevel"/>
    <w:tmpl w:val="5686AB70"/>
    <w:lvl w:ilvl="0" w:tplc="4726EF08">
      <w:start w:val="1"/>
      <w:numFmt w:val="decimal"/>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BBE6DAE"/>
    <w:multiLevelType w:val="hybridMultilevel"/>
    <w:tmpl w:val="00E25A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0B579AF"/>
    <w:multiLevelType w:val="multilevel"/>
    <w:tmpl w:val="1CA2EE46"/>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3800D82"/>
    <w:multiLevelType w:val="hybridMultilevel"/>
    <w:tmpl w:val="CE7A9FB6"/>
    <w:lvl w:ilvl="0" w:tplc="080A000F">
      <w:start w:val="1"/>
      <w:numFmt w:val="decimal"/>
      <w:lvlText w:val="%1."/>
      <w:lvlJc w:val="left"/>
      <w:pPr>
        <w:ind w:left="2148" w:hanging="360"/>
      </w:pPr>
    </w:lvl>
    <w:lvl w:ilvl="1" w:tplc="080A0019" w:tentative="1">
      <w:start w:val="1"/>
      <w:numFmt w:val="lowerLetter"/>
      <w:lvlText w:val="%2."/>
      <w:lvlJc w:val="left"/>
      <w:pPr>
        <w:ind w:left="2868" w:hanging="360"/>
      </w:pPr>
    </w:lvl>
    <w:lvl w:ilvl="2" w:tplc="080A001B" w:tentative="1">
      <w:start w:val="1"/>
      <w:numFmt w:val="lowerRoman"/>
      <w:lvlText w:val="%3."/>
      <w:lvlJc w:val="right"/>
      <w:pPr>
        <w:ind w:left="3588" w:hanging="180"/>
      </w:pPr>
    </w:lvl>
    <w:lvl w:ilvl="3" w:tplc="080A000F" w:tentative="1">
      <w:start w:val="1"/>
      <w:numFmt w:val="decimal"/>
      <w:lvlText w:val="%4."/>
      <w:lvlJc w:val="left"/>
      <w:pPr>
        <w:ind w:left="4308" w:hanging="360"/>
      </w:pPr>
    </w:lvl>
    <w:lvl w:ilvl="4" w:tplc="080A0019" w:tentative="1">
      <w:start w:val="1"/>
      <w:numFmt w:val="lowerLetter"/>
      <w:lvlText w:val="%5."/>
      <w:lvlJc w:val="left"/>
      <w:pPr>
        <w:ind w:left="5028" w:hanging="360"/>
      </w:pPr>
    </w:lvl>
    <w:lvl w:ilvl="5" w:tplc="080A001B" w:tentative="1">
      <w:start w:val="1"/>
      <w:numFmt w:val="lowerRoman"/>
      <w:lvlText w:val="%6."/>
      <w:lvlJc w:val="right"/>
      <w:pPr>
        <w:ind w:left="5748" w:hanging="180"/>
      </w:pPr>
    </w:lvl>
    <w:lvl w:ilvl="6" w:tplc="080A000F" w:tentative="1">
      <w:start w:val="1"/>
      <w:numFmt w:val="decimal"/>
      <w:lvlText w:val="%7."/>
      <w:lvlJc w:val="left"/>
      <w:pPr>
        <w:ind w:left="6468" w:hanging="360"/>
      </w:pPr>
    </w:lvl>
    <w:lvl w:ilvl="7" w:tplc="080A0019" w:tentative="1">
      <w:start w:val="1"/>
      <w:numFmt w:val="lowerLetter"/>
      <w:lvlText w:val="%8."/>
      <w:lvlJc w:val="left"/>
      <w:pPr>
        <w:ind w:left="7188" w:hanging="360"/>
      </w:pPr>
    </w:lvl>
    <w:lvl w:ilvl="8" w:tplc="080A001B" w:tentative="1">
      <w:start w:val="1"/>
      <w:numFmt w:val="lowerRoman"/>
      <w:lvlText w:val="%9."/>
      <w:lvlJc w:val="right"/>
      <w:pPr>
        <w:ind w:left="7908" w:hanging="180"/>
      </w:pPr>
    </w:lvl>
  </w:abstractNum>
  <w:abstractNum w:abstractNumId="33" w15:restartNumberingAfterBreak="0">
    <w:nsid w:val="567A3DBA"/>
    <w:multiLevelType w:val="hybridMultilevel"/>
    <w:tmpl w:val="6F6278BE"/>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77202FA"/>
    <w:multiLevelType w:val="hybridMultilevel"/>
    <w:tmpl w:val="D91489B2"/>
    <w:lvl w:ilvl="0" w:tplc="DDC08822">
      <w:start w:val="1"/>
      <w:numFmt w:val="decimal"/>
      <w:lvlText w:val="%1."/>
      <w:lvlJc w:val="left"/>
      <w:pPr>
        <w:ind w:left="360" w:hanging="360"/>
      </w:pPr>
      <w:rPr>
        <w:rFonts w:hAnsi="Arial Unicode MS" w:hint="default"/>
        <w:b/>
        <w:i w:val="0"/>
        <w:caps w:val="0"/>
        <w:smallCaps w:val="0"/>
        <w:strike w:val="0"/>
        <w:dstrike w:val="0"/>
        <w:outline w:val="0"/>
        <w:emboss w:val="0"/>
        <w:imprint w:val="0"/>
        <w:spacing w:val="0"/>
        <w:w w:val="100"/>
        <w:kern w:val="0"/>
        <w:position w:val="0"/>
        <w:highlight w:val="none"/>
        <w:u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5B4B1BAE"/>
    <w:multiLevelType w:val="hybridMultilevel"/>
    <w:tmpl w:val="5D064894"/>
    <w:lvl w:ilvl="0" w:tplc="B860BAB4">
      <w:start w:val="1"/>
      <w:numFmt w:val="upperRoman"/>
      <w:lvlText w:val="%1."/>
      <w:lvlJc w:val="left"/>
      <w:pPr>
        <w:ind w:left="1080" w:hanging="720"/>
      </w:pPr>
      <w:rPr>
        <w:rFonts w:hint="default"/>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840472"/>
    <w:multiLevelType w:val="hybridMultilevel"/>
    <w:tmpl w:val="678E0D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7A61C8F"/>
    <w:multiLevelType w:val="hybridMultilevel"/>
    <w:tmpl w:val="472CE58E"/>
    <w:lvl w:ilvl="0" w:tplc="080A0011">
      <w:start w:val="1"/>
      <w:numFmt w:val="decimal"/>
      <w:lvlText w:val="%1)"/>
      <w:lvlJc w:val="left"/>
      <w:pPr>
        <w:ind w:left="1429" w:hanging="360"/>
      </w:p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8" w15:restartNumberingAfterBreak="0">
    <w:nsid w:val="69B62D5F"/>
    <w:multiLevelType w:val="hybridMultilevel"/>
    <w:tmpl w:val="763441EC"/>
    <w:lvl w:ilvl="0" w:tplc="FD1CD57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A797FB5"/>
    <w:multiLevelType w:val="hybridMultilevel"/>
    <w:tmpl w:val="9FE0D2F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D7A3673"/>
    <w:multiLevelType w:val="hybridMultilevel"/>
    <w:tmpl w:val="0F8CB382"/>
    <w:lvl w:ilvl="0" w:tplc="E958629A">
      <w:start w:val="1"/>
      <w:numFmt w:val="decimal"/>
      <w:lvlText w:val="%1)"/>
      <w:lvlJc w:val="left"/>
      <w:pPr>
        <w:ind w:left="720" w:hanging="360"/>
      </w:pPr>
      <w:rPr>
        <w:b/>
        <w:i w:val="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1" w15:restartNumberingAfterBreak="0">
    <w:nsid w:val="6E90497E"/>
    <w:multiLevelType w:val="hybridMultilevel"/>
    <w:tmpl w:val="76D8D59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251706D"/>
    <w:multiLevelType w:val="hybridMultilevel"/>
    <w:tmpl w:val="F4A606F8"/>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44F5247"/>
    <w:multiLevelType w:val="hybridMultilevel"/>
    <w:tmpl w:val="15DE313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8F47563"/>
    <w:multiLevelType w:val="hybridMultilevel"/>
    <w:tmpl w:val="73AE7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9864B9F"/>
    <w:multiLevelType w:val="hybridMultilevel"/>
    <w:tmpl w:val="35DA33A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B0E2221"/>
    <w:multiLevelType w:val="hybridMultilevel"/>
    <w:tmpl w:val="559A4D8E"/>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7D445FEE"/>
    <w:multiLevelType w:val="hybridMultilevel"/>
    <w:tmpl w:val="E022F4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4"/>
  </w:num>
  <w:num w:numId="2">
    <w:abstractNumId w:val="35"/>
  </w:num>
  <w:num w:numId="3">
    <w:abstractNumId w:val="5"/>
  </w:num>
  <w:num w:numId="4">
    <w:abstractNumId w:val="44"/>
  </w:num>
  <w:num w:numId="5">
    <w:abstractNumId w:val="1"/>
  </w:num>
  <w:num w:numId="6">
    <w:abstractNumId w:val="2"/>
  </w:num>
  <w:num w:numId="7">
    <w:abstractNumId w:val="20"/>
  </w:num>
  <w:num w:numId="8">
    <w:abstractNumId w:val="25"/>
  </w:num>
  <w:num w:numId="9">
    <w:abstractNumId w:val="38"/>
  </w:num>
  <w:num w:numId="10">
    <w:abstractNumId w:val="23"/>
  </w:num>
  <w:num w:numId="11">
    <w:abstractNumId w:val="30"/>
  </w:num>
  <w:num w:numId="12">
    <w:abstractNumId w:val="11"/>
  </w:num>
  <w:num w:numId="13">
    <w:abstractNumId w:val="46"/>
  </w:num>
  <w:num w:numId="14">
    <w:abstractNumId w:val="45"/>
  </w:num>
  <w:num w:numId="15">
    <w:abstractNumId w:val="4"/>
  </w:num>
  <w:num w:numId="16">
    <w:abstractNumId w:val="19"/>
  </w:num>
  <w:num w:numId="17">
    <w:abstractNumId w:val="10"/>
  </w:num>
  <w:num w:numId="18">
    <w:abstractNumId w:val="14"/>
  </w:num>
  <w:num w:numId="19">
    <w:abstractNumId w:val="29"/>
  </w:num>
  <w:num w:numId="20">
    <w:abstractNumId w:val="9"/>
  </w:num>
  <w:num w:numId="21">
    <w:abstractNumId w:val="17"/>
  </w:num>
  <w:num w:numId="22">
    <w:abstractNumId w:val="40"/>
  </w:num>
  <w:num w:numId="23">
    <w:abstractNumId w:val="28"/>
  </w:num>
  <w:num w:numId="24">
    <w:abstractNumId w:val="6"/>
  </w:num>
  <w:num w:numId="25">
    <w:abstractNumId w:val="41"/>
  </w:num>
  <w:num w:numId="26">
    <w:abstractNumId w:val="31"/>
  </w:num>
  <w:num w:numId="27">
    <w:abstractNumId w:val="37"/>
  </w:num>
  <w:num w:numId="28">
    <w:abstractNumId w:val="24"/>
  </w:num>
  <w:num w:numId="29">
    <w:abstractNumId w:val="39"/>
  </w:num>
  <w:num w:numId="30">
    <w:abstractNumId w:val="47"/>
  </w:num>
  <w:num w:numId="31">
    <w:abstractNumId w:val="15"/>
  </w:num>
  <w:num w:numId="32">
    <w:abstractNumId w:val="0"/>
  </w:num>
  <w:num w:numId="33">
    <w:abstractNumId w:val="8"/>
  </w:num>
  <w:num w:numId="34">
    <w:abstractNumId w:val="16"/>
  </w:num>
  <w:num w:numId="35">
    <w:abstractNumId w:val="22"/>
  </w:num>
  <w:num w:numId="36">
    <w:abstractNumId w:val="21"/>
  </w:num>
  <w:num w:numId="37">
    <w:abstractNumId w:val="13"/>
  </w:num>
  <w:num w:numId="38">
    <w:abstractNumId w:val="36"/>
  </w:num>
  <w:num w:numId="39">
    <w:abstractNumId w:val="12"/>
  </w:num>
  <w:num w:numId="40">
    <w:abstractNumId w:val="3"/>
  </w:num>
  <w:num w:numId="41">
    <w:abstractNumId w:val="42"/>
  </w:num>
  <w:num w:numId="42">
    <w:abstractNumId w:val="26"/>
  </w:num>
  <w:num w:numId="43">
    <w:abstractNumId w:val="32"/>
  </w:num>
  <w:num w:numId="44">
    <w:abstractNumId w:val="27"/>
  </w:num>
  <w:num w:numId="45">
    <w:abstractNumId w:val="7"/>
  </w:num>
  <w:num w:numId="46">
    <w:abstractNumId w:val="43"/>
  </w:num>
  <w:num w:numId="47">
    <w:abstractNumId w:val="18"/>
  </w:num>
  <w:num w:numId="48">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D3D"/>
    <w:rsid w:val="00001E3A"/>
    <w:rsid w:val="00002FEE"/>
    <w:rsid w:val="00003F39"/>
    <w:rsid w:val="00007F05"/>
    <w:rsid w:val="00017704"/>
    <w:rsid w:val="0002180D"/>
    <w:rsid w:val="00025E0E"/>
    <w:rsid w:val="0002788B"/>
    <w:rsid w:val="00033837"/>
    <w:rsid w:val="000354F0"/>
    <w:rsid w:val="0003648B"/>
    <w:rsid w:val="00036595"/>
    <w:rsid w:val="00046733"/>
    <w:rsid w:val="00047D47"/>
    <w:rsid w:val="00050071"/>
    <w:rsid w:val="00051010"/>
    <w:rsid w:val="00051B39"/>
    <w:rsid w:val="000550BB"/>
    <w:rsid w:val="000602CB"/>
    <w:rsid w:val="0006430D"/>
    <w:rsid w:val="00064C7C"/>
    <w:rsid w:val="0007217E"/>
    <w:rsid w:val="00075BC8"/>
    <w:rsid w:val="00077E58"/>
    <w:rsid w:val="00080138"/>
    <w:rsid w:val="00082116"/>
    <w:rsid w:val="00083196"/>
    <w:rsid w:val="0008550B"/>
    <w:rsid w:val="000921E9"/>
    <w:rsid w:val="0009506C"/>
    <w:rsid w:val="000957D0"/>
    <w:rsid w:val="00096CC2"/>
    <w:rsid w:val="000A17C5"/>
    <w:rsid w:val="000B09D7"/>
    <w:rsid w:val="000B2BE4"/>
    <w:rsid w:val="000C57DB"/>
    <w:rsid w:val="000D3EE5"/>
    <w:rsid w:val="000D647C"/>
    <w:rsid w:val="000D75B5"/>
    <w:rsid w:val="000D78CD"/>
    <w:rsid w:val="000E1ACA"/>
    <w:rsid w:val="000E4D6E"/>
    <w:rsid w:val="000F6EC0"/>
    <w:rsid w:val="00102360"/>
    <w:rsid w:val="00113C80"/>
    <w:rsid w:val="00113E8A"/>
    <w:rsid w:val="001240A5"/>
    <w:rsid w:val="00131C89"/>
    <w:rsid w:val="00132BDB"/>
    <w:rsid w:val="00143687"/>
    <w:rsid w:val="00147D04"/>
    <w:rsid w:val="0016014E"/>
    <w:rsid w:val="001604B4"/>
    <w:rsid w:val="0016671B"/>
    <w:rsid w:val="001708DF"/>
    <w:rsid w:val="001725DC"/>
    <w:rsid w:val="0018245A"/>
    <w:rsid w:val="001833A7"/>
    <w:rsid w:val="0018421D"/>
    <w:rsid w:val="001849AC"/>
    <w:rsid w:val="00187407"/>
    <w:rsid w:val="00196CAE"/>
    <w:rsid w:val="001A3506"/>
    <w:rsid w:val="001A4E6E"/>
    <w:rsid w:val="001A5DCA"/>
    <w:rsid w:val="001A62C6"/>
    <w:rsid w:val="001A7D89"/>
    <w:rsid w:val="001B19B4"/>
    <w:rsid w:val="001C23BB"/>
    <w:rsid w:val="001C27F2"/>
    <w:rsid w:val="001C3DD0"/>
    <w:rsid w:val="001C5A78"/>
    <w:rsid w:val="001C6366"/>
    <w:rsid w:val="001D35E2"/>
    <w:rsid w:val="001D47E3"/>
    <w:rsid w:val="001D71D8"/>
    <w:rsid w:val="001D7C57"/>
    <w:rsid w:val="001E1AE7"/>
    <w:rsid w:val="001E5635"/>
    <w:rsid w:val="001F05DA"/>
    <w:rsid w:val="001F0E58"/>
    <w:rsid w:val="001F1428"/>
    <w:rsid w:val="00202AE6"/>
    <w:rsid w:val="0022191E"/>
    <w:rsid w:val="00223548"/>
    <w:rsid w:val="00224B9E"/>
    <w:rsid w:val="00225470"/>
    <w:rsid w:val="002255A9"/>
    <w:rsid w:val="00230205"/>
    <w:rsid w:val="00235438"/>
    <w:rsid w:val="00240141"/>
    <w:rsid w:val="00241D8A"/>
    <w:rsid w:val="00252BB6"/>
    <w:rsid w:val="00256514"/>
    <w:rsid w:val="00256E57"/>
    <w:rsid w:val="002643E6"/>
    <w:rsid w:val="002650C2"/>
    <w:rsid w:val="00265FB2"/>
    <w:rsid w:val="00270126"/>
    <w:rsid w:val="0027212F"/>
    <w:rsid w:val="002728F2"/>
    <w:rsid w:val="00273862"/>
    <w:rsid w:val="002926F8"/>
    <w:rsid w:val="002927D9"/>
    <w:rsid w:val="00295D28"/>
    <w:rsid w:val="002962A4"/>
    <w:rsid w:val="002A2E8D"/>
    <w:rsid w:val="002A3111"/>
    <w:rsid w:val="002A3E3F"/>
    <w:rsid w:val="002B02A8"/>
    <w:rsid w:val="002B1FE5"/>
    <w:rsid w:val="002B30C5"/>
    <w:rsid w:val="002B6741"/>
    <w:rsid w:val="002C0B0D"/>
    <w:rsid w:val="002C1A0B"/>
    <w:rsid w:val="002C3124"/>
    <w:rsid w:val="002C4ACE"/>
    <w:rsid w:val="002D2F58"/>
    <w:rsid w:val="002D4033"/>
    <w:rsid w:val="002E3ED2"/>
    <w:rsid w:val="002E691F"/>
    <w:rsid w:val="002F79FF"/>
    <w:rsid w:val="003005F7"/>
    <w:rsid w:val="00302CEB"/>
    <w:rsid w:val="00305CE0"/>
    <w:rsid w:val="00315772"/>
    <w:rsid w:val="003170B3"/>
    <w:rsid w:val="00317725"/>
    <w:rsid w:val="0032084C"/>
    <w:rsid w:val="0032240B"/>
    <w:rsid w:val="003258B6"/>
    <w:rsid w:val="0032670C"/>
    <w:rsid w:val="003267BA"/>
    <w:rsid w:val="00332757"/>
    <w:rsid w:val="00355ED5"/>
    <w:rsid w:val="003564CA"/>
    <w:rsid w:val="00360A7B"/>
    <w:rsid w:val="0036141D"/>
    <w:rsid w:val="003617E4"/>
    <w:rsid w:val="0036569E"/>
    <w:rsid w:val="003676A8"/>
    <w:rsid w:val="003722F0"/>
    <w:rsid w:val="00376B99"/>
    <w:rsid w:val="00377B5A"/>
    <w:rsid w:val="003817BE"/>
    <w:rsid w:val="00384DBA"/>
    <w:rsid w:val="003855C9"/>
    <w:rsid w:val="00386739"/>
    <w:rsid w:val="003875DC"/>
    <w:rsid w:val="00387F6B"/>
    <w:rsid w:val="00391E5E"/>
    <w:rsid w:val="003965B8"/>
    <w:rsid w:val="003A0E53"/>
    <w:rsid w:val="003A31EF"/>
    <w:rsid w:val="003A4962"/>
    <w:rsid w:val="003C0D78"/>
    <w:rsid w:val="003C19DC"/>
    <w:rsid w:val="003C3547"/>
    <w:rsid w:val="003C37C6"/>
    <w:rsid w:val="003C7F8A"/>
    <w:rsid w:val="003D41BA"/>
    <w:rsid w:val="003D42E2"/>
    <w:rsid w:val="003D7278"/>
    <w:rsid w:val="003D74AD"/>
    <w:rsid w:val="003E0648"/>
    <w:rsid w:val="003E12FC"/>
    <w:rsid w:val="003F0FAA"/>
    <w:rsid w:val="003F1617"/>
    <w:rsid w:val="003F2054"/>
    <w:rsid w:val="00401477"/>
    <w:rsid w:val="00410B42"/>
    <w:rsid w:val="0041189B"/>
    <w:rsid w:val="00413714"/>
    <w:rsid w:val="00421B1A"/>
    <w:rsid w:val="00423C67"/>
    <w:rsid w:val="00426D97"/>
    <w:rsid w:val="00427B43"/>
    <w:rsid w:val="00427B79"/>
    <w:rsid w:val="004340E4"/>
    <w:rsid w:val="00434E1A"/>
    <w:rsid w:val="004351AE"/>
    <w:rsid w:val="00436338"/>
    <w:rsid w:val="00436541"/>
    <w:rsid w:val="00437D14"/>
    <w:rsid w:val="00443C91"/>
    <w:rsid w:val="004440DE"/>
    <w:rsid w:val="00454A8A"/>
    <w:rsid w:val="0045613E"/>
    <w:rsid w:val="0046231E"/>
    <w:rsid w:val="004633B7"/>
    <w:rsid w:val="00466F4A"/>
    <w:rsid w:val="00470840"/>
    <w:rsid w:val="00472C78"/>
    <w:rsid w:val="004733AF"/>
    <w:rsid w:val="0047567F"/>
    <w:rsid w:val="00480F5B"/>
    <w:rsid w:val="00483418"/>
    <w:rsid w:val="0048628E"/>
    <w:rsid w:val="00494B01"/>
    <w:rsid w:val="00497F7C"/>
    <w:rsid w:val="004A4304"/>
    <w:rsid w:val="004A5F86"/>
    <w:rsid w:val="004B5385"/>
    <w:rsid w:val="004C57A6"/>
    <w:rsid w:val="004D66C5"/>
    <w:rsid w:val="004D772F"/>
    <w:rsid w:val="004E6D94"/>
    <w:rsid w:val="004F360B"/>
    <w:rsid w:val="004F3ABB"/>
    <w:rsid w:val="004F4DA5"/>
    <w:rsid w:val="004F6B61"/>
    <w:rsid w:val="00500BB0"/>
    <w:rsid w:val="00501D40"/>
    <w:rsid w:val="00510EE4"/>
    <w:rsid w:val="00522308"/>
    <w:rsid w:val="0052306C"/>
    <w:rsid w:val="005328D3"/>
    <w:rsid w:val="005441DE"/>
    <w:rsid w:val="005503D3"/>
    <w:rsid w:val="00551207"/>
    <w:rsid w:val="00554B28"/>
    <w:rsid w:val="005556CA"/>
    <w:rsid w:val="005565CE"/>
    <w:rsid w:val="005650D9"/>
    <w:rsid w:val="00567957"/>
    <w:rsid w:val="005905A5"/>
    <w:rsid w:val="00590C2D"/>
    <w:rsid w:val="00594E5C"/>
    <w:rsid w:val="005A2F43"/>
    <w:rsid w:val="005A5C01"/>
    <w:rsid w:val="005B2060"/>
    <w:rsid w:val="005B30BB"/>
    <w:rsid w:val="005B4B9A"/>
    <w:rsid w:val="005C0258"/>
    <w:rsid w:val="005C3F74"/>
    <w:rsid w:val="005C5909"/>
    <w:rsid w:val="005C74AE"/>
    <w:rsid w:val="005D0118"/>
    <w:rsid w:val="005D0248"/>
    <w:rsid w:val="005D1F96"/>
    <w:rsid w:val="005D2393"/>
    <w:rsid w:val="005D71D8"/>
    <w:rsid w:val="005E5192"/>
    <w:rsid w:val="005F30BC"/>
    <w:rsid w:val="005F393D"/>
    <w:rsid w:val="005F3E96"/>
    <w:rsid w:val="006033A6"/>
    <w:rsid w:val="00611694"/>
    <w:rsid w:val="0061188C"/>
    <w:rsid w:val="00617ACF"/>
    <w:rsid w:val="00625C44"/>
    <w:rsid w:val="006262ED"/>
    <w:rsid w:val="006319DC"/>
    <w:rsid w:val="00645585"/>
    <w:rsid w:val="00645B94"/>
    <w:rsid w:val="006562FF"/>
    <w:rsid w:val="00672D4A"/>
    <w:rsid w:val="00673029"/>
    <w:rsid w:val="00675CF8"/>
    <w:rsid w:val="00676187"/>
    <w:rsid w:val="00680533"/>
    <w:rsid w:val="006864CA"/>
    <w:rsid w:val="00686870"/>
    <w:rsid w:val="00693113"/>
    <w:rsid w:val="006937EC"/>
    <w:rsid w:val="006951FC"/>
    <w:rsid w:val="00697C15"/>
    <w:rsid w:val="006A0BDD"/>
    <w:rsid w:val="006A3003"/>
    <w:rsid w:val="006B39ED"/>
    <w:rsid w:val="006B704C"/>
    <w:rsid w:val="006C5E0D"/>
    <w:rsid w:val="006D3C8A"/>
    <w:rsid w:val="006E22C9"/>
    <w:rsid w:val="006F081D"/>
    <w:rsid w:val="006F0A01"/>
    <w:rsid w:val="007015AB"/>
    <w:rsid w:val="00715A51"/>
    <w:rsid w:val="00720807"/>
    <w:rsid w:val="00720D2F"/>
    <w:rsid w:val="00723CDA"/>
    <w:rsid w:val="00730193"/>
    <w:rsid w:val="007349D6"/>
    <w:rsid w:val="00740A46"/>
    <w:rsid w:val="00740DA3"/>
    <w:rsid w:val="00744BA1"/>
    <w:rsid w:val="00744F8C"/>
    <w:rsid w:val="00754249"/>
    <w:rsid w:val="00761D8C"/>
    <w:rsid w:val="007626E7"/>
    <w:rsid w:val="00772B4B"/>
    <w:rsid w:val="00773AAF"/>
    <w:rsid w:val="007763E8"/>
    <w:rsid w:val="007777F1"/>
    <w:rsid w:val="00780F47"/>
    <w:rsid w:val="00786073"/>
    <w:rsid w:val="00787B93"/>
    <w:rsid w:val="007910FD"/>
    <w:rsid w:val="00797A31"/>
    <w:rsid w:val="007A1EB0"/>
    <w:rsid w:val="007A304C"/>
    <w:rsid w:val="007A4C87"/>
    <w:rsid w:val="007A5444"/>
    <w:rsid w:val="007A671C"/>
    <w:rsid w:val="007B0214"/>
    <w:rsid w:val="007B0E23"/>
    <w:rsid w:val="007B2BB0"/>
    <w:rsid w:val="007B2DD9"/>
    <w:rsid w:val="007D037D"/>
    <w:rsid w:val="007D03AB"/>
    <w:rsid w:val="007D1783"/>
    <w:rsid w:val="007D2D36"/>
    <w:rsid w:val="007D7732"/>
    <w:rsid w:val="007E2065"/>
    <w:rsid w:val="007E48FF"/>
    <w:rsid w:val="007F063A"/>
    <w:rsid w:val="007F7A9D"/>
    <w:rsid w:val="0080377C"/>
    <w:rsid w:val="008049C8"/>
    <w:rsid w:val="00804A5D"/>
    <w:rsid w:val="00806194"/>
    <w:rsid w:val="00806C2E"/>
    <w:rsid w:val="00806F09"/>
    <w:rsid w:val="008076C1"/>
    <w:rsid w:val="00807E40"/>
    <w:rsid w:val="0081257A"/>
    <w:rsid w:val="008126FB"/>
    <w:rsid w:val="00817655"/>
    <w:rsid w:val="00820775"/>
    <w:rsid w:val="008216B4"/>
    <w:rsid w:val="00821BFF"/>
    <w:rsid w:val="00821FE4"/>
    <w:rsid w:val="008232B6"/>
    <w:rsid w:val="00831AE8"/>
    <w:rsid w:val="00831B0F"/>
    <w:rsid w:val="0083488C"/>
    <w:rsid w:val="00835C8D"/>
    <w:rsid w:val="00843E5B"/>
    <w:rsid w:val="008461BC"/>
    <w:rsid w:val="0084698E"/>
    <w:rsid w:val="00850B8D"/>
    <w:rsid w:val="00852C16"/>
    <w:rsid w:val="00856D24"/>
    <w:rsid w:val="008572C3"/>
    <w:rsid w:val="00857FB4"/>
    <w:rsid w:val="00860A8A"/>
    <w:rsid w:val="00862F04"/>
    <w:rsid w:val="00865C88"/>
    <w:rsid w:val="00870E92"/>
    <w:rsid w:val="00871B60"/>
    <w:rsid w:val="008747CB"/>
    <w:rsid w:val="00876065"/>
    <w:rsid w:val="008825D2"/>
    <w:rsid w:val="008843B2"/>
    <w:rsid w:val="00884EFF"/>
    <w:rsid w:val="00886DFE"/>
    <w:rsid w:val="00890823"/>
    <w:rsid w:val="00892296"/>
    <w:rsid w:val="00894E97"/>
    <w:rsid w:val="008B030F"/>
    <w:rsid w:val="008B04BB"/>
    <w:rsid w:val="008B0FC0"/>
    <w:rsid w:val="008C1CB4"/>
    <w:rsid w:val="008C63A7"/>
    <w:rsid w:val="008D0ACD"/>
    <w:rsid w:val="008D4328"/>
    <w:rsid w:val="008E733E"/>
    <w:rsid w:val="008F212A"/>
    <w:rsid w:val="008F2800"/>
    <w:rsid w:val="008F7A94"/>
    <w:rsid w:val="0090262D"/>
    <w:rsid w:val="00906020"/>
    <w:rsid w:val="009143F1"/>
    <w:rsid w:val="00920E8D"/>
    <w:rsid w:val="00922197"/>
    <w:rsid w:val="00922D55"/>
    <w:rsid w:val="00930786"/>
    <w:rsid w:val="0093474A"/>
    <w:rsid w:val="009447DE"/>
    <w:rsid w:val="00945937"/>
    <w:rsid w:val="00950BDB"/>
    <w:rsid w:val="009547CD"/>
    <w:rsid w:val="00962385"/>
    <w:rsid w:val="00964E10"/>
    <w:rsid w:val="009770F2"/>
    <w:rsid w:val="0098297D"/>
    <w:rsid w:val="00983DEC"/>
    <w:rsid w:val="00984119"/>
    <w:rsid w:val="00984681"/>
    <w:rsid w:val="00987C08"/>
    <w:rsid w:val="00994A15"/>
    <w:rsid w:val="00995C55"/>
    <w:rsid w:val="009A0649"/>
    <w:rsid w:val="009A081B"/>
    <w:rsid w:val="009A0D68"/>
    <w:rsid w:val="009A2638"/>
    <w:rsid w:val="009A2D39"/>
    <w:rsid w:val="009A33F0"/>
    <w:rsid w:val="009A5621"/>
    <w:rsid w:val="009B1339"/>
    <w:rsid w:val="009B1407"/>
    <w:rsid w:val="009B3A5C"/>
    <w:rsid w:val="009B4169"/>
    <w:rsid w:val="009B713A"/>
    <w:rsid w:val="009C1A2E"/>
    <w:rsid w:val="009C7267"/>
    <w:rsid w:val="009C72FE"/>
    <w:rsid w:val="009D3902"/>
    <w:rsid w:val="009D4E0C"/>
    <w:rsid w:val="009E0EE0"/>
    <w:rsid w:val="009F02EB"/>
    <w:rsid w:val="009F4960"/>
    <w:rsid w:val="009F64D8"/>
    <w:rsid w:val="009F6B96"/>
    <w:rsid w:val="009F7A37"/>
    <w:rsid w:val="009F7B67"/>
    <w:rsid w:val="00A01FFF"/>
    <w:rsid w:val="00A02ED0"/>
    <w:rsid w:val="00A11E72"/>
    <w:rsid w:val="00A1541E"/>
    <w:rsid w:val="00A22908"/>
    <w:rsid w:val="00A23B00"/>
    <w:rsid w:val="00A245A7"/>
    <w:rsid w:val="00A276D9"/>
    <w:rsid w:val="00A2786C"/>
    <w:rsid w:val="00A3005E"/>
    <w:rsid w:val="00A34F25"/>
    <w:rsid w:val="00A37A86"/>
    <w:rsid w:val="00A42F36"/>
    <w:rsid w:val="00A43A7A"/>
    <w:rsid w:val="00A46EBA"/>
    <w:rsid w:val="00A510F9"/>
    <w:rsid w:val="00A5179E"/>
    <w:rsid w:val="00A61107"/>
    <w:rsid w:val="00A649E1"/>
    <w:rsid w:val="00A672A5"/>
    <w:rsid w:val="00A717F7"/>
    <w:rsid w:val="00A72D82"/>
    <w:rsid w:val="00A749B1"/>
    <w:rsid w:val="00A82E8C"/>
    <w:rsid w:val="00A8430F"/>
    <w:rsid w:val="00A84374"/>
    <w:rsid w:val="00A9681C"/>
    <w:rsid w:val="00AA0FB7"/>
    <w:rsid w:val="00AA39FC"/>
    <w:rsid w:val="00AA7962"/>
    <w:rsid w:val="00AC4FE5"/>
    <w:rsid w:val="00AC640A"/>
    <w:rsid w:val="00AD0558"/>
    <w:rsid w:val="00AD1BEF"/>
    <w:rsid w:val="00AD1BFD"/>
    <w:rsid w:val="00AD4195"/>
    <w:rsid w:val="00AD5621"/>
    <w:rsid w:val="00AE0090"/>
    <w:rsid w:val="00AE08B4"/>
    <w:rsid w:val="00AE3DF4"/>
    <w:rsid w:val="00AF1B72"/>
    <w:rsid w:val="00B07ADB"/>
    <w:rsid w:val="00B16CE1"/>
    <w:rsid w:val="00B2190C"/>
    <w:rsid w:val="00B21F85"/>
    <w:rsid w:val="00B259AE"/>
    <w:rsid w:val="00B2759C"/>
    <w:rsid w:val="00B32C98"/>
    <w:rsid w:val="00B3675E"/>
    <w:rsid w:val="00B41044"/>
    <w:rsid w:val="00B4133E"/>
    <w:rsid w:val="00B42A2D"/>
    <w:rsid w:val="00B516DB"/>
    <w:rsid w:val="00B52EEC"/>
    <w:rsid w:val="00B57FAA"/>
    <w:rsid w:val="00B64246"/>
    <w:rsid w:val="00B73B30"/>
    <w:rsid w:val="00B83FC5"/>
    <w:rsid w:val="00B847EF"/>
    <w:rsid w:val="00B91C16"/>
    <w:rsid w:val="00B9285A"/>
    <w:rsid w:val="00B97DB6"/>
    <w:rsid w:val="00BB0DD7"/>
    <w:rsid w:val="00BB271A"/>
    <w:rsid w:val="00BB27D3"/>
    <w:rsid w:val="00BB325C"/>
    <w:rsid w:val="00BB4414"/>
    <w:rsid w:val="00BB488C"/>
    <w:rsid w:val="00BB48A7"/>
    <w:rsid w:val="00BC31E0"/>
    <w:rsid w:val="00BC3C4B"/>
    <w:rsid w:val="00BD16B5"/>
    <w:rsid w:val="00BD2985"/>
    <w:rsid w:val="00BD4F54"/>
    <w:rsid w:val="00BD63E7"/>
    <w:rsid w:val="00BF0A24"/>
    <w:rsid w:val="00BF6F65"/>
    <w:rsid w:val="00BF70DB"/>
    <w:rsid w:val="00C0383A"/>
    <w:rsid w:val="00C07079"/>
    <w:rsid w:val="00C076A9"/>
    <w:rsid w:val="00C1158A"/>
    <w:rsid w:val="00C12591"/>
    <w:rsid w:val="00C130B3"/>
    <w:rsid w:val="00C1625B"/>
    <w:rsid w:val="00C17563"/>
    <w:rsid w:val="00C20869"/>
    <w:rsid w:val="00C4243E"/>
    <w:rsid w:val="00C43E73"/>
    <w:rsid w:val="00C4764C"/>
    <w:rsid w:val="00C50660"/>
    <w:rsid w:val="00C544E1"/>
    <w:rsid w:val="00C547F0"/>
    <w:rsid w:val="00C602B8"/>
    <w:rsid w:val="00C6233A"/>
    <w:rsid w:val="00C6454A"/>
    <w:rsid w:val="00C66C13"/>
    <w:rsid w:val="00C73E2A"/>
    <w:rsid w:val="00C752C4"/>
    <w:rsid w:val="00C753D8"/>
    <w:rsid w:val="00C824DB"/>
    <w:rsid w:val="00C83D11"/>
    <w:rsid w:val="00C9078E"/>
    <w:rsid w:val="00C93875"/>
    <w:rsid w:val="00C9680E"/>
    <w:rsid w:val="00CA2B8E"/>
    <w:rsid w:val="00CA4B44"/>
    <w:rsid w:val="00CB2472"/>
    <w:rsid w:val="00CB26E2"/>
    <w:rsid w:val="00CB2E4E"/>
    <w:rsid w:val="00CC3ACF"/>
    <w:rsid w:val="00CC6106"/>
    <w:rsid w:val="00CC7CC1"/>
    <w:rsid w:val="00CD4F74"/>
    <w:rsid w:val="00CD53CB"/>
    <w:rsid w:val="00CD6AB1"/>
    <w:rsid w:val="00CD6EAF"/>
    <w:rsid w:val="00CE252C"/>
    <w:rsid w:val="00CE55B7"/>
    <w:rsid w:val="00CF0462"/>
    <w:rsid w:val="00CF1560"/>
    <w:rsid w:val="00CF242A"/>
    <w:rsid w:val="00CF3D2E"/>
    <w:rsid w:val="00D0055C"/>
    <w:rsid w:val="00D05844"/>
    <w:rsid w:val="00D061BB"/>
    <w:rsid w:val="00D11834"/>
    <w:rsid w:val="00D152FB"/>
    <w:rsid w:val="00D206BF"/>
    <w:rsid w:val="00D207EA"/>
    <w:rsid w:val="00D2727B"/>
    <w:rsid w:val="00D31010"/>
    <w:rsid w:val="00D35B4C"/>
    <w:rsid w:val="00D36317"/>
    <w:rsid w:val="00D37A65"/>
    <w:rsid w:val="00D37ED5"/>
    <w:rsid w:val="00D40E34"/>
    <w:rsid w:val="00D51491"/>
    <w:rsid w:val="00D549C7"/>
    <w:rsid w:val="00D92BA5"/>
    <w:rsid w:val="00D93A70"/>
    <w:rsid w:val="00D9735C"/>
    <w:rsid w:val="00DA5A47"/>
    <w:rsid w:val="00DB39B5"/>
    <w:rsid w:val="00DB53B7"/>
    <w:rsid w:val="00DC2F22"/>
    <w:rsid w:val="00DC4358"/>
    <w:rsid w:val="00DC792E"/>
    <w:rsid w:val="00DD14BB"/>
    <w:rsid w:val="00DE7A32"/>
    <w:rsid w:val="00DF018D"/>
    <w:rsid w:val="00DF782C"/>
    <w:rsid w:val="00E04374"/>
    <w:rsid w:val="00E10CF1"/>
    <w:rsid w:val="00E15203"/>
    <w:rsid w:val="00E216B3"/>
    <w:rsid w:val="00E23555"/>
    <w:rsid w:val="00E27554"/>
    <w:rsid w:val="00E27A90"/>
    <w:rsid w:val="00E317C2"/>
    <w:rsid w:val="00E349CD"/>
    <w:rsid w:val="00E350C4"/>
    <w:rsid w:val="00E3588D"/>
    <w:rsid w:val="00E41E1B"/>
    <w:rsid w:val="00E41E9C"/>
    <w:rsid w:val="00E44859"/>
    <w:rsid w:val="00E479EF"/>
    <w:rsid w:val="00E504F7"/>
    <w:rsid w:val="00E51DF4"/>
    <w:rsid w:val="00E535E4"/>
    <w:rsid w:val="00E61519"/>
    <w:rsid w:val="00E6179D"/>
    <w:rsid w:val="00E676E0"/>
    <w:rsid w:val="00E82D3D"/>
    <w:rsid w:val="00E86F52"/>
    <w:rsid w:val="00E90F45"/>
    <w:rsid w:val="00E93266"/>
    <w:rsid w:val="00E965B4"/>
    <w:rsid w:val="00EA110C"/>
    <w:rsid w:val="00EA33CD"/>
    <w:rsid w:val="00EA7D41"/>
    <w:rsid w:val="00EB2D01"/>
    <w:rsid w:val="00EB7AAD"/>
    <w:rsid w:val="00EC6B7E"/>
    <w:rsid w:val="00EC74B7"/>
    <w:rsid w:val="00EF21BF"/>
    <w:rsid w:val="00EF3EA6"/>
    <w:rsid w:val="00EF6FDF"/>
    <w:rsid w:val="00F00B7C"/>
    <w:rsid w:val="00F01189"/>
    <w:rsid w:val="00F01271"/>
    <w:rsid w:val="00F100EC"/>
    <w:rsid w:val="00F1169F"/>
    <w:rsid w:val="00F1403B"/>
    <w:rsid w:val="00F26CE5"/>
    <w:rsid w:val="00F30EE8"/>
    <w:rsid w:val="00F333C8"/>
    <w:rsid w:val="00F41722"/>
    <w:rsid w:val="00F44EAA"/>
    <w:rsid w:val="00F56428"/>
    <w:rsid w:val="00F665AF"/>
    <w:rsid w:val="00F72355"/>
    <w:rsid w:val="00F73C04"/>
    <w:rsid w:val="00F8373B"/>
    <w:rsid w:val="00F92E97"/>
    <w:rsid w:val="00FA571E"/>
    <w:rsid w:val="00FA6405"/>
    <w:rsid w:val="00FA79CE"/>
    <w:rsid w:val="00FB227F"/>
    <w:rsid w:val="00FB274F"/>
    <w:rsid w:val="00FC4706"/>
    <w:rsid w:val="00FC605B"/>
    <w:rsid w:val="00FD0F02"/>
    <w:rsid w:val="00FD1FAD"/>
    <w:rsid w:val="00FE1030"/>
    <w:rsid w:val="00FE3088"/>
    <w:rsid w:val="00FE3923"/>
    <w:rsid w:val="00FE645C"/>
    <w:rsid w:val="00FF3621"/>
    <w:rsid w:val="00FF62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3FE2A249-A106-482D-AF60-ED48C88A2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0EC"/>
  </w:style>
  <w:style w:type="paragraph" w:styleId="Ttulo1">
    <w:name w:val="heading 1"/>
    <w:basedOn w:val="Normal"/>
    <w:next w:val="Normal"/>
    <w:link w:val="Ttulo1Car"/>
    <w:uiPriority w:val="9"/>
    <w:qFormat/>
    <w:rsid w:val="00B2190C"/>
    <w:pPr>
      <w:keepNext/>
      <w:keepLines/>
      <w:spacing w:before="240" w:after="0"/>
      <w:outlineLvl w:val="0"/>
    </w:pPr>
    <w:rPr>
      <w:rFonts w:ascii="Palatino Linotype" w:eastAsiaTheme="majorEastAsia" w:hAnsi="Palatino Linotype" w:cstheme="majorBidi"/>
      <w:b/>
      <w:color w:val="000000" w:themeColor="text1"/>
      <w:sz w:val="24"/>
      <w:szCs w:val="32"/>
    </w:rPr>
  </w:style>
  <w:style w:type="paragraph" w:styleId="Ttulo2">
    <w:name w:val="heading 2"/>
    <w:basedOn w:val="Normal"/>
    <w:next w:val="Normal"/>
    <w:link w:val="Ttulo2Car"/>
    <w:uiPriority w:val="9"/>
    <w:semiHidden/>
    <w:unhideWhenUsed/>
    <w:qFormat/>
    <w:rsid w:val="000A17C5"/>
    <w:pPr>
      <w:keepNext/>
      <w:keepLines/>
      <w:spacing w:before="40" w:after="0"/>
      <w:outlineLvl w:val="1"/>
    </w:pPr>
    <w:rPr>
      <w:rFonts w:ascii="Palatino Linotype" w:eastAsiaTheme="majorEastAsia" w:hAnsi="Palatino Linotype" w:cstheme="majorBidi"/>
      <w:color w:val="000000" w:themeColor="text1"/>
      <w:sz w:val="24"/>
      <w:szCs w:val="26"/>
    </w:rPr>
  </w:style>
  <w:style w:type="paragraph" w:styleId="Ttulo3">
    <w:name w:val="heading 3"/>
    <w:basedOn w:val="Normal"/>
    <w:next w:val="Normal"/>
    <w:link w:val="Ttulo3Car"/>
    <w:uiPriority w:val="9"/>
    <w:semiHidden/>
    <w:unhideWhenUsed/>
    <w:qFormat/>
    <w:rsid w:val="003855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E82D3D"/>
    <w:pPr>
      <w:spacing w:after="0" w:line="240" w:lineRule="auto"/>
    </w:pPr>
    <w:rPr>
      <w:sz w:val="20"/>
      <w:szCs w:val="20"/>
    </w:rPr>
  </w:style>
  <w:style w:type="character" w:customStyle="1" w:styleId="TextonotapieCar">
    <w:name w:val="Texto nota pie Car"/>
    <w:basedOn w:val="Fuentedeprrafopredeter"/>
    <w:link w:val="Textonotapie"/>
    <w:uiPriority w:val="99"/>
    <w:rsid w:val="00E82D3D"/>
    <w:rPr>
      <w:sz w:val="20"/>
      <w:szCs w:val="20"/>
    </w:rPr>
  </w:style>
  <w:style w:type="character" w:styleId="Refdenotaalpie">
    <w:name w:val="footnote reference"/>
    <w:aliases w:val="Footnotes refss,Texto de nota al pie,Ref. de nota al pie 2,Appel note de bas de page,referencia nota al pie,BVI fnr,Footnote number,4_G,16 Point,Superscript 6 Point,Texto nota al pie,Footnote Reference Char3"/>
    <w:basedOn w:val="Fuentedeprrafopredeter"/>
    <w:uiPriority w:val="99"/>
    <w:unhideWhenUsed/>
    <w:rsid w:val="00E82D3D"/>
    <w:rPr>
      <w:vertAlign w:val="superscript"/>
    </w:rPr>
  </w:style>
  <w:style w:type="paragraph" w:styleId="Piedepgina">
    <w:name w:val="footer"/>
    <w:basedOn w:val="Normal"/>
    <w:link w:val="PiedepginaCar"/>
    <w:uiPriority w:val="99"/>
    <w:unhideWhenUsed/>
    <w:rsid w:val="00E82D3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2D3D"/>
  </w:style>
  <w:style w:type="paragraph" w:styleId="Encabezado">
    <w:name w:val="header"/>
    <w:basedOn w:val="Normal"/>
    <w:link w:val="EncabezadoCar"/>
    <w:uiPriority w:val="99"/>
    <w:unhideWhenUsed/>
    <w:rsid w:val="00E82D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2D3D"/>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72"/>
    <w:qFormat/>
    <w:rsid w:val="009A2D39"/>
    <w:pPr>
      <w:ind w:left="720"/>
      <w:contextualSpacing/>
    </w:pPr>
  </w:style>
  <w:style w:type="paragraph" w:styleId="Textodeglobo">
    <w:name w:val="Balloon Text"/>
    <w:basedOn w:val="Normal"/>
    <w:link w:val="TextodegloboCar"/>
    <w:uiPriority w:val="99"/>
    <w:semiHidden/>
    <w:unhideWhenUsed/>
    <w:rsid w:val="001B19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B19B4"/>
    <w:rPr>
      <w:rFonts w:ascii="Segoe UI" w:hAnsi="Segoe UI" w:cs="Segoe UI"/>
      <w:sz w:val="18"/>
      <w:szCs w:val="18"/>
    </w:rPr>
  </w:style>
  <w:style w:type="character" w:customStyle="1" w:styleId="Ttulo1Car">
    <w:name w:val="Título 1 Car"/>
    <w:basedOn w:val="Fuentedeprrafopredeter"/>
    <w:link w:val="Ttulo1"/>
    <w:uiPriority w:val="9"/>
    <w:rsid w:val="00B2190C"/>
    <w:rPr>
      <w:rFonts w:ascii="Palatino Linotype" w:eastAsiaTheme="majorEastAsia" w:hAnsi="Palatino Linotype" w:cstheme="majorBidi"/>
      <w:b/>
      <w:color w:val="000000" w:themeColor="text1"/>
      <w:sz w:val="24"/>
      <w:szCs w:val="32"/>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72"/>
    <w:qFormat/>
    <w:locked/>
    <w:rsid w:val="00DE7A32"/>
  </w:style>
  <w:style w:type="paragraph" w:styleId="Sinespaciado">
    <w:name w:val="No Spacing"/>
    <w:aliases w:val="Francesa"/>
    <w:link w:val="SinespaciadoCar"/>
    <w:uiPriority w:val="1"/>
    <w:qFormat/>
    <w:rsid w:val="00DE7A32"/>
    <w:pPr>
      <w:spacing w:after="0" w:line="240" w:lineRule="auto"/>
    </w:pPr>
  </w:style>
  <w:style w:type="paragraph" w:styleId="TtulodeTDC">
    <w:name w:val="TOC Heading"/>
    <w:basedOn w:val="Ttulo1"/>
    <w:next w:val="Normal"/>
    <w:uiPriority w:val="39"/>
    <w:unhideWhenUsed/>
    <w:qFormat/>
    <w:rsid w:val="00DE7A32"/>
    <w:pPr>
      <w:outlineLvl w:val="9"/>
    </w:pPr>
    <w:rPr>
      <w:lang w:eastAsia="es-MX"/>
    </w:rPr>
  </w:style>
  <w:style w:type="paragraph" w:styleId="TDC1">
    <w:name w:val="toc 1"/>
    <w:basedOn w:val="Normal"/>
    <w:next w:val="Normal"/>
    <w:autoRedefine/>
    <w:uiPriority w:val="39"/>
    <w:unhideWhenUsed/>
    <w:rsid w:val="001833A7"/>
    <w:pPr>
      <w:tabs>
        <w:tab w:val="left" w:pos="440"/>
        <w:tab w:val="left" w:pos="880"/>
        <w:tab w:val="right" w:leader="dot" w:pos="8828"/>
      </w:tabs>
      <w:spacing w:after="100"/>
      <w:ind w:left="284"/>
      <w:jc w:val="both"/>
    </w:pPr>
    <w:rPr>
      <w:rFonts w:ascii="Palatino Linotype" w:hAnsi="Palatino Linotype"/>
      <w:b/>
      <w:noProof/>
      <w:sz w:val="20"/>
      <w:szCs w:val="20"/>
    </w:rPr>
  </w:style>
  <w:style w:type="character" w:styleId="Hipervnculo">
    <w:name w:val="Hyperlink"/>
    <w:basedOn w:val="Fuentedeprrafopredeter"/>
    <w:uiPriority w:val="99"/>
    <w:unhideWhenUsed/>
    <w:rsid w:val="00DE7A32"/>
    <w:rPr>
      <w:color w:val="0563C1" w:themeColor="hyperlink"/>
      <w:u w:val="single"/>
    </w:rPr>
  </w:style>
  <w:style w:type="character" w:customStyle="1" w:styleId="SinespaciadoCar">
    <w:name w:val="Sin espaciado Car"/>
    <w:aliases w:val="Francesa Car"/>
    <w:link w:val="Sinespaciado"/>
    <w:uiPriority w:val="1"/>
    <w:locked/>
    <w:rsid w:val="00DE7A32"/>
  </w:style>
  <w:style w:type="paragraph" w:customStyle="1" w:styleId="Cuerpo">
    <w:name w:val="Cuerpo"/>
    <w:rsid w:val="00CC3ACF"/>
    <w:pPr>
      <w:pBdr>
        <w:top w:val="nil"/>
        <w:left w:val="nil"/>
        <w:bottom w:val="nil"/>
        <w:right w:val="nil"/>
        <w:between w:val="nil"/>
        <w:bar w:val="nil"/>
      </w:pBdr>
    </w:pPr>
    <w:rPr>
      <w:rFonts w:ascii="Calibri" w:eastAsia="Calibri" w:hAnsi="Calibri" w:cs="Calibri"/>
      <w:color w:val="000000"/>
      <w:u w:color="000000"/>
      <w:bdr w:val="nil"/>
      <w:lang w:val="de-DE" w:eastAsia="es-ES"/>
    </w:rPr>
  </w:style>
  <w:style w:type="character" w:customStyle="1" w:styleId="Ttulo2Car">
    <w:name w:val="Título 2 Car"/>
    <w:basedOn w:val="Fuentedeprrafopredeter"/>
    <w:link w:val="Ttulo2"/>
    <w:uiPriority w:val="9"/>
    <w:semiHidden/>
    <w:rsid w:val="000A17C5"/>
    <w:rPr>
      <w:rFonts w:ascii="Palatino Linotype" w:eastAsiaTheme="majorEastAsia" w:hAnsi="Palatino Linotype" w:cstheme="majorBidi"/>
      <w:color w:val="000000" w:themeColor="text1"/>
      <w:sz w:val="24"/>
      <w:szCs w:val="26"/>
    </w:rPr>
  </w:style>
  <w:style w:type="character" w:customStyle="1" w:styleId="Ttulo3Car">
    <w:name w:val="Título 3 Car"/>
    <w:basedOn w:val="Fuentedeprrafopredeter"/>
    <w:link w:val="Ttulo3"/>
    <w:uiPriority w:val="9"/>
    <w:semiHidden/>
    <w:rsid w:val="003855C9"/>
    <w:rPr>
      <w:rFonts w:asciiTheme="majorHAnsi" w:eastAsiaTheme="majorEastAsia" w:hAnsiTheme="majorHAnsi" w:cstheme="majorBidi"/>
      <w:color w:val="1F4D78" w:themeColor="accent1" w:themeShade="7F"/>
      <w:sz w:val="24"/>
      <w:szCs w:val="24"/>
    </w:rPr>
  </w:style>
  <w:style w:type="table" w:styleId="Tablaconcuadrcula">
    <w:name w:val="Table Grid"/>
    <w:basedOn w:val="Tablanormal"/>
    <w:uiPriority w:val="39"/>
    <w:rsid w:val="0038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
    <w:name w:val="j"/>
    <w:basedOn w:val="Normal"/>
    <w:rsid w:val="003855C9"/>
    <w:pPr>
      <w:spacing w:before="100" w:beforeAutospacing="1" w:after="100" w:afterAutospacing="1" w:line="240" w:lineRule="auto"/>
    </w:pPr>
    <w:rPr>
      <w:rFonts w:ascii="Times New Roman" w:hAnsi="Times New Roman" w:cs="Times New Roman"/>
      <w:sz w:val="24"/>
      <w:szCs w:val="24"/>
      <w:lang w:val="es-ES_tradnl" w:eastAsia="es-ES_tradnl"/>
    </w:rPr>
  </w:style>
  <w:style w:type="paragraph" w:styleId="NormalWeb">
    <w:name w:val="Normal (Web)"/>
    <w:basedOn w:val="Normal"/>
    <w:uiPriority w:val="99"/>
    <w:unhideWhenUsed/>
    <w:rsid w:val="003855C9"/>
    <w:pPr>
      <w:spacing w:before="100" w:beforeAutospacing="1" w:after="100" w:afterAutospacing="1" w:line="240" w:lineRule="auto"/>
    </w:pPr>
    <w:rPr>
      <w:rFonts w:ascii="Times New Roman" w:hAnsi="Times New Roman" w:cs="Times New Roman"/>
      <w:sz w:val="24"/>
      <w:szCs w:val="24"/>
      <w:lang w:val="es-ES_tradnl" w:eastAsia="es-ES_tradnl"/>
    </w:rPr>
  </w:style>
  <w:style w:type="table" w:styleId="Tablanormal1">
    <w:name w:val="Plain Table 1"/>
    <w:basedOn w:val="Tablanormal"/>
    <w:uiPriority w:val="41"/>
    <w:rsid w:val="003855C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Fuentedeprrafopredeter"/>
    <w:rsid w:val="003855C9"/>
  </w:style>
  <w:style w:type="paragraph" w:styleId="TDC2">
    <w:name w:val="toc 2"/>
    <w:basedOn w:val="Normal"/>
    <w:next w:val="Normal"/>
    <w:autoRedefine/>
    <w:uiPriority w:val="39"/>
    <w:unhideWhenUsed/>
    <w:rsid w:val="00A43A7A"/>
    <w:pPr>
      <w:tabs>
        <w:tab w:val="left" w:pos="660"/>
        <w:tab w:val="right" w:leader="dot" w:pos="8828"/>
      </w:tabs>
      <w:spacing w:after="100"/>
      <w:ind w:left="284"/>
    </w:pPr>
    <w:rPr>
      <w:rFonts w:ascii="Palatino Linotype" w:hAnsi="Palatino Linotype"/>
      <w:b/>
      <w:noProof/>
      <w:sz w:val="24"/>
      <w:szCs w:val="24"/>
    </w:rPr>
  </w:style>
  <w:style w:type="paragraph" w:styleId="TDC3">
    <w:name w:val="toc 3"/>
    <w:basedOn w:val="Normal"/>
    <w:next w:val="Normal"/>
    <w:autoRedefine/>
    <w:uiPriority w:val="39"/>
    <w:unhideWhenUsed/>
    <w:rsid w:val="009B3A5C"/>
    <w:pPr>
      <w:spacing w:after="100"/>
      <w:ind w:left="440"/>
    </w:pPr>
  </w:style>
  <w:style w:type="character" w:customStyle="1" w:styleId="normaltextrun">
    <w:name w:val="normaltextrun"/>
    <w:basedOn w:val="Fuentedeprrafopredeter"/>
    <w:rsid w:val="00D36317"/>
  </w:style>
  <w:style w:type="paragraph" w:customStyle="1" w:styleId="Default">
    <w:name w:val="Default"/>
    <w:rsid w:val="00B259A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431698">
      <w:bodyDiv w:val="1"/>
      <w:marLeft w:val="0"/>
      <w:marRight w:val="0"/>
      <w:marTop w:val="0"/>
      <w:marBottom w:val="0"/>
      <w:divBdr>
        <w:top w:val="none" w:sz="0" w:space="0" w:color="auto"/>
        <w:left w:val="none" w:sz="0" w:space="0" w:color="auto"/>
        <w:bottom w:val="none" w:sz="0" w:space="0" w:color="auto"/>
        <w:right w:val="none" w:sz="0" w:space="0" w:color="auto"/>
      </w:divBdr>
    </w:div>
    <w:div w:id="49434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Derechos_civiles_y_pol%C3%ADtico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49D9E-A427-425F-845E-560E4D4C1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5641</Words>
  <Characters>31030</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 INFOEM</cp:lastModifiedBy>
  <cp:revision>2</cp:revision>
  <cp:lastPrinted>2019-04-26T21:18:00Z</cp:lastPrinted>
  <dcterms:created xsi:type="dcterms:W3CDTF">2019-08-20T22:38:00Z</dcterms:created>
  <dcterms:modified xsi:type="dcterms:W3CDTF">2019-08-20T22:38:00Z</dcterms:modified>
</cp:coreProperties>
</file>